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Malgun Gothic" w:cs="Malgun Gothic" w:eastAsia="Malgun Gothic" w:hAnsi="Malgun Gothic"/>
          <w:b/>
          <w:bCs/>
          <w:color w:val="2B2F8F"/>
          <w:sz w:val="40"/>
          <w:szCs w:val="40"/>
        </w:rPr>
        <w:t xml:space="preserve">Synerzy 랜딩페이지 고지·동의 문구</w:t>
      </w:r>
    </w:p>
    <w:p>
      <w:pPr>
        <w:spacing w:after="240"/>
      </w:pPr>
      <w:r>
        <w:rPr>
          <w:rFonts w:ascii="Malgun Gothic" w:cs="Malgun Gothic" w:eastAsia="Malgun Gothic" w:hAnsi="Malgun Gothic"/>
          <w:color w:val="5F6368"/>
          <w:sz w:val="22"/>
          <w:szCs w:val="22"/>
        </w:rPr>
        <w:t xml:space="preserve">synerzy.ai 홈페이지의 신청 폼 안내 · 마케팅 수신 동의 · 쿠키 배너 · 푸터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2B2F8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8"/>
                <w:szCs w:val="18"/>
              </w:rPr>
              <w:t xml:space="preserve">항목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2B2F8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8"/>
                <w:szCs w:val="18"/>
              </w:rPr>
              <w:t xml:space="preserve">내용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문서명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Synerzy 랜딩페이지 고지·동의 문구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버전 / 작성일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v0.1 (초안) / 2026.10.15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적용 위치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synerzy.ai 홈페이지 — 도입 문의·무료 체험(베타) 신청 폼, 쿠키 배너, 푸터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원칙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랜딩에는 짧은 문구와 링크만 두고 법정 고지 내용은 개인정보 처리방침에 둔다. 동의를 받는 것은 마케팅 수신(선택)과 분석·광고 쿠키뿐이다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관련 문서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「개인정보 처리방침 v0.2」(1·2·3·9절, 별표 「수탁사·국외 이전 현황」) · 「이용약관 v0.2」 · 「요금표 v1.0.8」 · 「취소 및 환불 정책 v1.7.8」 · 「파트너(제작자) 약관 v0.7」</w:t>
            </w:r>
          </w:p>
        </w:tc>
      </w:tr>
    </w:tbl>
    <w:p>
      <w:pPr>
        <w:spacing w:after="120" w:line="32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Bdr>
          <w:left w:val="single" w:color="2B2F8F" w:sz="12" w:space="8"/>
        </w:pBdr>
        <w:spacing w:after="120" w:line="300"/>
        <w:ind w:left="240"/>
      </w:pPr>
      <w:r>
        <w:rPr>
          <w:rFonts w:ascii="Malgun Gothic" w:cs="Malgun Gothic" w:eastAsia="Malgun Gothic" w:hAnsi="Malgun Gothic"/>
          <w:b/>
          <w:bCs/>
          <w:color w:val="2B2F8F"/>
          <w:sz w:val="20"/>
          <w:szCs w:val="20"/>
        </w:rPr>
        <w:t xml:space="preserve">※ </w:t>
      </w:r>
      <w:r>
        <w:rPr>
          <w:rFonts w:ascii="Malgun Gothic" w:cs="Malgun Gothic" w:eastAsia="Malgun Gothic" w:hAnsi="Malgun Gothic"/>
          <w:color w:val="5F6368"/>
          <w:sz w:val="18"/>
          <w:szCs w:val="18"/>
        </w:rPr>
        <w:t xml:space="preserve">v0.1은 법률 검토 전 초안이다. [법률 검토] 표시가 확인할 지점이며, 대괄호 [ ] 항목은 확정 전 기입이 필요하다.</w:t>
      </w:r>
    </w:p>
    <w:p>
      <w:pPr>
        <w:pStyle w:val="Heading1"/>
        <w:spacing w:after="160" w:before="360"/>
      </w:pPr>
      <w:r>
        <w:rPr>
          <w:rFonts w:ascii="Malgun Gothic" w:cs="Malgun Gothic" w:eastAsia="Malgun Gothic" w:hAnsi="Malgun Gothic"/>
          <w:b/>
          <w:bCs/>
          <w:color w:val="2B2F8F"/>
          <w:sz w:val="30"/>
          <w:szCs w:val="30"/>
        </w:rPr>
        <w:t xml:space="preserve">1. 신청 폼 안내 (도입 문의 · 무료 체험)</w:t>
      </w:r>
    </w:p>
    <w:p>
      <w:pPr>
        <w:spacing w:after="120" w:line="320"/>
      </w:pPr>
      <w:r>
        <w:rPr>
          <w:rFonts w:ascii="Malgun Gothic" w:cs="Malgun Gothic" w:eastAsia="Malgun Gothic" w:hAnsi="Malgun Gothic"/>
          <w:sz w:val="20"/>
          <w:szCs w:val="20"/>
        </w:rPr>
        <w:t xml:space="preserve">도입 문의와 무료 체험(베타) 신청 폼에는 동의 체크박스를 두지 않고, 신청 버튼 아래에 한 줄로 안내합니다.</w:t>
      </w:r>
    </w:p>
    <w:p>
      <w:pPr>
        <w:pBdr>
          <w:left w:val="single" w:color="2B2F8F" w:sz="12" w:space="8"/>
        </w:pBdr>
        <w:spacing w:after="120" w:line="300"/>
        <w:ind w:left="240"/>
      </w:pPr>
      <w:r>
        <w:rPr>
          <w:rFonts w:ascii="Malgun Gothic" w:cs="Malgun Gothic" w:eastAsia="Malgun Gothic" w:hAnsi="Malgun Gothic"/>
          <w:b/>
          <w:bCs/>
          <w:color w:val="2B2F8F"/>
          <w:sz w:val="20"/>
          <w:szCs w:val="20"/>
        </w:rPr>
        <w:t xml:space="preserve">보내주신 정보는 문의 답변과 체험 안내에만 쓰며 [개인정보 처리방침]에 따라 처리합니다.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[개인정보 처리방침]은 처리방침 페이지로 연결합니다. 수집 항목과 처리 근거는 처리방침 2절, 보유 기간(도입 문의는 상담 종료 후 1년, 체험 데이터는 종료 후 30일, 체험 이력은 1년)은 3절에 둡니다.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근거: 문의 답변과 체험 제공에 필요한 정보는 동의 없이 처리하고 처리방침으로 알립니다(개인정보 보호법 제15조 제1항 제4호, 시행령 제17조 — 2024.9.15 시행). [법률 검토]</w:t>
      </w:r>
    </w:p>
    <w:p>
      <w:pPr>
        <w:pStyle w:val="Heading1"/>
        <w:spacing w:after="160" w:before="360"/>
      </w:pPr>
      <w:r>
        <w:rPr>
          <w:rFonts w:ascii="Malgun Gothic" w:cs="Malgun Gothic" w:eastAsia="Malgun Gothic" w:hAnsi="Malgun Gothic"/>
          <w:b/>
          <w:bCs/>
          <w:color w:val="2B2F8F"/>
          <w:sz w:val="30"/>
          <w:szCs w:val="30"/>
        </w:rPr>
        <w:t xml:space="preserve">2. 마케팅 수신 동의 (선택)</w:t>
      </w:r>
    </w:p>
    <w:p>
      <w:pPr>
        <w:spacing w:after="120" w:line="320"/>
      </w:pPr>
      <w:r>
        <w:rPr>
          <w:rFonts w:ascii="Malgun Gothic" w:cs="Malgun Gothic" w:eastAsia="Malgun Gothic" w:hAnsi="Malgun Gothic"/>
          <w:sz w:val="20"/>
          <w:szCs w:val="20"/>
        </w:rPr>
        <w:t xml:space="preserve">신청 폼의 유일한 체크박스입니다. 미리 체크해 두지 않으며, 체크하지 않아도 문의·체험 신청은 그대로 접수됩니다.</w:t>
      </w:r>
    </w:p>
    <w:p>
      <w:pPr>
        <w:pBdr>
          <w:left w:val="single" w:color="2B2F8F" w:sz="12" w:space="8"/>
        </w:pBdr>
        <w:spacing w:after="120" w:line="300"/>
        <w:ind w:left="240"/>
      </w:pPr>
      <w:r>
        <w:rPr>
          <w:rFonts w:ascii="Malgun Gothic" w:cs="Malgun Gothic" w:eastAsia="Malgun Gothic" w:hAnsi="Malgun Gothic"/>
          <w:b/>
          <w:bCs/>
          <w:color w:val="2B2F8F"/>
          <w:sz w:val="20"/>
          <w:szCs w:val="20"/>
        </w:rPr>
        <w:t xml:space="preserve">□ (선택) Synerzy 소식·이벤트를 이메일·문자로 받기 [자세히]</w:t>
      </w:r>
    </w:p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1F1F1F"/>
          <w:sz w:val="24"/>
          <w:szCs w:val="24"/>
        </w:rPr>
        <w:t xml:space="preserve">[자세히]에 표시할 내용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2B2F8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8"/>
                <w:szCs w:val="18"/>
              </w:rPr>
              <w:t xml:space="preserve">구분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2B2F8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8"/>
                <w:szCs w:val="18"/>
              </w:rPr>
              <w:t xml:space="preserve">내용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목적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뉴스레터·이벤트·신규 기능 안내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수집 항목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이메일·휴대전화·동의 일시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보유 기간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동의를 철회할 때까지 (2년마다 수신 동의를 다시 확인)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동의 거부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동의하지 않을 수 있으며, 동의하지 않아도 문의·체험 신청에는 영향이 없습니다</w:t>
            </w:r>
          </w:p>
        </w:tc>
      </w:tr>
    </w:tbl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1F1F1F"/>
          <w:sz w:val="24"/>
          <w:szCs w:val="24"/>
        </w:rPr>
        <w:t xml:space="preserve">운영 규칙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처리 결과 통지: 수신 동의·거부·철회를 처리하면 그 결과와 처리 일자를 이용자에게 알립니다.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재확인: 2년마다 수신 동의 여부를 다시 확인합니다.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야간 발송: 오후 9시부터 다음 날 오전 8시 사이에 문자를 보내려면 별도 동의를 받습니다.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근거: 정보통신망법 제50조 · 개인정보 처리방침 1·2·3절(마케팅).</w:t>
      </w:r>
    </w:p>
    <w:p>
      <w:pPr>
        <w:pStyle w:val="Heading1"/>
        <w:spacing w:after="160" w:before="360"/>
      </w:pPr>
      <w:r>
        <w:rPr>
          <w:rFonts w:ascii="Malgun Gothic" w:cs="Malgun Gothic" w:eastAsia="Malgun Gothic" w:hAnsi="Malgun Gothic"/>
          <w:b/>
          <w:bCs/>
          <w:color w:val="2B2F8F"/>
          <w:sz w:val="30"/>
          <w:szCs w:val="30"/>
        </w:rPr>
        <w:t xml:space="preserve">3. 쿠키 배너</w:t>
      </w:r>
    </w:p>
    <w:p>
      <w:pPr>
        <w:spacing w:after="120" w:line="320"/>
      </w:pPr>
      <w:r>
        <w:rPr>
          <w:rFonts w:ascii="Malgun Gothic" w:cs="Malgun Gothic" w:eastAsia="Malgun Gothic" w:hAnsi="Malgun Gothic"/>
          <w:sz w:val="20"/>
          <w:szCs w:val="20"/>
        </w:rPr>
        <w:t xml:space="preserve">홈페이지의 방문 분석·광고 성과 측정 쿠키는 이 배너에서 동의한 경우에만 작동합니다.</w:t>
      </w:r>
    </w:p>
    <w:p>
      <w:pPr>
        <w:pBdr>
          <w:left w:val="single" w:color="2B2F8F" w:sz="12" w:space="8"/>
        </w:pBdr>
        <w:spacing w:after="120" w:line="300"/>
        <w:ind w:left="240"/>
      </w:pPr>
      <w:r>
        <w:rPr>
          <w:rFonts w:ascii="Malgun Gothic" w:cs="Malgun Gothic" w:eastAsia="Malgun Gothic" w:hAnsi="Malgun Gothic"/>
          <w:b/>
          <w:bCs/>
          <w:color w:val="2B2F8F"/>
          <w:sz w:val="20"/>
          <w:szCs w:val="20"/>
        </w:rPr>
        <w:t xml:space="preserve">방문 분석과 광고 측정에 쿠키를 씁니다   [모두 허용]   [필수만]   [설정]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동의 전에는 Google Analytics·Meta Pixel을 작동시키지 않습니다. 나라별로 나누지 않고 전 세계에 같은 기준을 씁니다.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[설정]과 푸터의 '개인정보 선택'은 같은 설정 화면을 열며, 이용자는 언제든 동의를 바꾸거나 철회할 수 있습니다.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수집 항목과 해외 사업자 전송은 개인정보 처리방침 9절에 둡니다. [법률 검토 — 행태정보 동의 방식]</w:t>
      </w:r>
    </w:p>
    <w:p>
      <w:pPr>
        <w:pStyle w:val="Heading1"/>
        <w:spacing w:after="160" w:before="360"/>
      </w:pPr>
      <w:r>
        <w:rPr>
          <w:rFonts w:ascii="Malgun Gothic" w:cs="Malgun Gothic" w:eastAsia="Malgun Gothic" w:hAnsi="Malgun Gothic"/>
          <w:b/>
          <w:bCs/>
          <w:color w:val="2B2F8F"/>
          <w:sz w:val="30"/>
          <w:szCs w:val="30"/>
        </w:rPr>
        <w:t xml:space="preserve">4. 푸터</w:t>
      </w:r>
    </w:p>
    <w:p>
      <w:pPr>
        <w:spacing w:after="120" w:line="320"/>
      </w:pPr>
      <w:r>
        <w:rPr>
          <w:rFonts w:ascii="Malgun Gothic" w:cs="Malgun Gothic" w:eastAsia="Malgun Gothic" w:hAnsi="Malgun Gothic"/>
          <w:sz w:val="20"/>
          <w:szCs w:val="20"/>
        </w:rPr>
        <w:t xml:space="preserve">링크 한 줄과 맨 아래 사업자 정보 한 줄로 구성합니다.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2B2F8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8"/>
                <w:szCs w:val="18"/>
              </w:rPr>
              <w:t xml:space="preserve">링크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2B2F8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18"/>
                <w:szCs w:val="18"/>
              </w:rPr>
              <w:t xml:space="preserve">연결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이용약관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이용약관 v0.2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개인정보 처리방침 (굵게 표시)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개인정보 처리방침 v0.2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개인정보 선택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쿠키·마케팅 수신 설정 화면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요금표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요금표 v1.0.8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파트너 약관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파트너(제작자) 약관 v0.7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취소·환불 정책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취소 및 환불 정책 v1.7.8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수탁사·국외 이전 현황</w:t>
            </w:r>
          </w:p>
        </w:tc>
        <w:tc>
          <w:tcPr>
            <w:tcW w:type="dxa" w:w="6760"/>
            <w:tcBorders>
              <w:top w:val="single" w:color="C7C9D6" w:sz="4"/>
              <w:left w:val="single" w:color="C7C9D6" w:sz="4"/>
              <w:bottom w:val="single" w:color="C7C9D6" w:sz="4"/>
              <w:right w:val="single" w:color="C7C9D6" w:sz="4"/>
            </w:tcBorders>
            <w:shd w:fill="FAFAF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80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1F1F1F"/>
                <w:sz w:val="18"/>
                <w:szCs w:val="18"/>
              </w:rPr>
              <w:t xml:space="preserve">개인정보 처리방침 별표</w:t>
            </w:r>
          </w:p>
        </w:tc>
      </w:tr>
    </w:tbl>
    <w:p>
      <w:pPr>
        <w:spacing w:after="120" w:line="320"/>
      </w:pPr>
      <w:r>
        <w:rPr>
          <w:rFonts w:ascii="Malgun Gothic" w:cs="Malgun Gothic" w:eastAsia="Malgun Gothic" w:hAnsi="Malgun Gothic"/>
          <w:sz w:val="20"/>
          <w:szCs w:val="20"/>
        </w:rPr>
        <w:t xml:space="preserve"/>
      </w:r>
    </w:p>
    <w:p>
      <w:pPr>
        <w:pBdr>
          <w:left w:val="single" w:color="2B2F8F" w:sz="12" w:space="8"/>
        </w:pBdr>
        <w:spacing w:after="120" w:line="300"/>
        <w:ind w:left="240"/>
      </w:pPr>
      <w:r>
        <w:rPr>
          <w:rFonts w:ascii="Malgun Gothic" w:cs="Malgun Gothic" w:eastAsia="Malgun Gothic" w:hAnsi="Malgun Gothic"/>
          <w:b/>
          <w:bCs/>
          <w:color w:val="2B2F8F"/>
          <w:sz w:val="20"/>
          <w:szCs w:val="20"/>
        </w:rPr>
        <w:t xml:space="preserve">상호 한솔 · 대표자 정재승 · 사업자등록번호 168-11-02066 · 통신판매업신고 제2026-전남순천-7186호 · 전라남도 순천시 해룡면 순광로 214, 3층 · 대표전화 1811-8559 · synerzy@synerzy.ai · 호스팅 제공자 [__]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Malgun Gothic" w:cs="Malgun Gothic" w:eastAsia="Malgun Gothic" w:hAnsi="Malgun Gothic"/>
          <w:sz w:val="20"/>
          <w:szCs w:val="20"/>
        </w:rPr>
        <w:t xml:space="preserve">근거: 전자상거래법 제10조(사업자 정보 표시).</w:t>
      </w:r>
    </w:p>
    <w:p>
      <w:pPr>
        <w:pBdr>
          <w:left w:val="single" w:color="2B2F8F" w:sz="12" w:space="8"/>
        </w:pBdr>
        <w:spacing w:after="120" w:line="300"/>
        <w:ind w:left="240"/>
      </w:pPr>
      <w:r>
        <w:rPr>
          <w:rFonts w:ascii="Malgun Gothic" w:cs="Malgun Gothic" w:eastAsia="Malgun Gothic" w:hAnsi="Malgun Gothic"/>
          <w:b/>
          <w:bCs/>
          <w:color w:val="2B2F8F"/>
          <w:sz w:val="20"/>
          <w:szCs w:val="20"/>
        </w:rPr>
        <w:t xml:space="preserve">※ </w:t>
      </w:r>
      <w:r>
        <w:rPr>
          <w:rFonts w:ascii="Malgun Gothic" w:cs="Malgun Gothic" w:eastAsia="Malgun Gothic" w:hAnsi="Malgun Gothic"/>
          <w:color w:val="5F6368"/>
          <w:sz w:val="18"/>
          <w:szCs w:val="18"/>
        </w:rPr>
        <w:t xml:space="preserve">사용 정책·서비스 상태 페이지는 필요해지면 추가하고, 지역별 고지·영문판은 국문을 확정한 뒤 다음 라운드에서 추가한다.</w:t>
      </w:r>
    </w:p>
    <w:sectPr>
      <w:headerReference w:type="default" r:id="rId7"/>
      <w:footerReference w:type="default" r:id="rId8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cs="Malgun Gothic" w:eastAsia="Malgun Gothic" w:hAnsi="Malgun Gothic"/>
        <w:color w:val="5F636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Malgun Gothic" w:cs="Malgun Gothic" w:eastAsia="Malgun Gothic" w:hAnsi="Malgun Gothic"/>
        <w:color w:val="5F6368"/>
        <w:sz w:val="16"/>
        <w:szCs w:val="16"/>
      </w:rPr>
      <w:t xml:space="preserve">Synerzy 랜딩페이지 고지·동의 문구 · v0.1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  <w:lvl w:ilvl="1" w15:tentative="1">
      <w:start w:val="1"/>
      <w:numFmt w:val="bullet"/>
      <w:lvlText w:val="–"/>
      <w:lvlJc w:val="left"/>
      <w:pPr>
        <w:ind w:left="9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Malgun Gothic" w:cs="Malgun Gothic" w:eastAsia="Malgun Gothic" w:hAnsi="Malgun Gothic"/>
      <w:b/>
      <w:bCs/>
      <w:color w:val="2B2F8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Malgun Gothic" w:cs="Malgun Gothic" w:eastAsia="Malgun Gothic" w:hAnsi="Malgun Gothic"/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Malgun Gothic" w:cs="Malgun Gothic" w:eastAsia="Malgun Gothic" w:hAnsi="Malgun Gothic"/>
      <w:b/>
      <w:bCs/>
      <w:sz w:val="21"/>
      <w:szCs w:val="2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Synerzy 랜딩페이지 고지·동의 문구</dc:title>
  <dc:creator>Synerzy</dc:creator>
  <cp:lastModifiedBy>Un-named</cp:lastModifiedBy>
  <cp:revision>1</cp:revision>
  <dcterms:created xsi:type="dcterms:W3CDTF">2026-09-11T11:09:38.446Z</dcterms:created>
  <dcterms:modified xsi:type="dcterms:W3CDTF">2026-09-11T11:09:38.447Z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