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rPr>
          <w:rFonts w:ascii="Malgun Gothic" w:cs="Malgun Gothic" w:eastAsia="Malgun Gothic" w:hAnsi="Malgun Gothic"/>
          <w:b/>
          <w:bCs/>
          <w:color w:val="2B2F8F"/>
          <w:sz w:val="40"/>
          <w:szCs w:val="40"/>
        </w:rPr>
        <w:t xml:space="preserve">Synerzy 개인정보 처리방침</w:t>
      </w:r>
    </w:p>
    <w:p>
      <w:pPr>
        <w:spacing w:after="240"/>
      </w:pPr>
      <w:r>
        <w:rPr>
          <w:rFonts w:ascii="Malgun Gothic" w:cs="Malgun Gothic" w:eastAsia="Malgun Gothic" w:hAnsi="Malgun Gothic"/>
          <w:color w:val="5F6368"/>
          <w:sz w:val="22"/>
          <w:szCs w:val="22"/>
        </w:rPr>
        <w:t xml:space="preserve">개인정보 보호법 제30조에 따른 처리방침 · 위치정보법에 따른 위치정보 처리 및 위치기반서비스 이용약관 필수 기재사항 포함</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rPr>
          <w:tblHeader/>
        </w:trPr>
        <w:tc>
          <w:tcPr>
            <w:tcW w:type="dxa" w:w="2600"/>
            <w:tcBorders>
              <w:top w:val="single" w:color="C7C9D6" w:sz="4"/>
              <w:left w:val="single" w:color="C7C9D6" w:sz="4"/>
              <w:bottom w:val="single" w:color="C7C9D6" w:sz="4"/>
              <w:right w:val="single" w:color="C7C9D6" w:sz="4"/>
            </w:tcBorders>
            <w:shd w:fill="2B2F8F" w:color="auto" w:val="clear"/>
            <w:tcMar>
              <w:top w:type="dxa" w:w="80"/>
              <w:left w:type="dxa" w:w="120"/>
              <w:bottom w:type="dxa" w:w="80"/>
              <w:right w:type="dxa" w:w="120"/>
            </w:tcMar>
          </w:tcPr>
          <w:p>
            <w:pPr>
              <w:spacing w:after="0" w:line="280"/>
            </w:pPr>
            <w:r>
              <w:rPr>
                <w:rFonts w:ascii="Malgun Gothic" w:cs="Malgun Gothic" w:eastAsia="Malgun Gothic" w:hAnsi="Malgun Gothic"/>
                <w:b/>
                <w:bCs/>
                <w:color w:val="FFFFFF"/>
                <w:sz w:val="18"/>
                <w:szCs w:val="18"/>
              </w:rPr>
              <w:t xml:space="preserve">항목</w:t>
            </w:r>
          </w:p>
        </w:tc>
        <w:tc>
          <w:tcPr>
            <w:tcW w:type="dxa" w:w="6760"/>
            <w:tcBorders>
              <w:top w:val="single" w:color="C7C9D6" w:sz="4"/>
              <w:left w:val="single" w:color="C7C9D6" w:sz="4"/>
              <w:bottom w:val="single" w:color="C7C9D6" w:sz="4"/>
              <w:right w:val="single" w:color="C7C9D6" w:sz="4"/>
            </w:tcBorders>
            <w:shd w:fill="2B2F8F" w:color="auto" w:val="clear"/>
            <w:tcMar>
              <w:top w:type="dxa" w:w="80"/>
              <w:left w:type="dxa" w:w="120"/>
              <w:bottom w:type="dxa" w:w="80"/>
              <w:right w:type="dxa" w:w="120"/>
            </w:tcMar>
          </w:tcPr>
          <w:p>
            <w:pPr>
              <w:spacing w:after="0" w:line="280"/>
            </w:pPr>
            <w:r>
              <w:rPr>
                <w:rFonts w:ascii="Malgun Gothic" w:cs="Malgun Gothic" w:eastAsia="Malgun Gothic" w:hAnsi="Malgun Gothic"/>
                <w:b/>
                <w:bCs/>
                <w:color w:val="FFFFFF"/>
                <w:sz w:val="18"/>
                <w:szCs w:val="18"/>
              </w:rPr>
              <w:t xml:space="preserve">내용</w:t>
            </w:r>
          </w:p>
        </w:tc>
      </w:tr>
      <w:tr>
        <w:trPr>
          <w:tblHeader w:val="false"/>
        </w:trPr>
        <w:tc>
          <w:tcPr>
            <w:tcW w:type="dxa" w:w="26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문서명</w:t>
            </w:r>
          </w:p>
        </w:tc>
        <w:tc>
          <w:tcPr>
            <w:tcW w:type="dxa" w:w="676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Synerzy 개인정보 처리방침 (제2장 위치정보의 처리 포함)</w:t>
            </w:r>
          </w:p>
        </w:tc>
      </w:tr>
      <w:tr>
        <w:trPr>
          <w:tblHeader w:val="false"/>
        </w:trPr>
        <w:tc>
          <w:tcPr>
            <w:tcW w:type="dxa" w:w="26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버전 / 시행일</w:t>
            </w:r>
          </w:p>
        </w:tc>
        <w:tc>
          <w:tcPr>
            <w:tcW w:type="dxa" w:w="676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v0.2 (초안) / 2026.10.15</w:t>
            </w:r>
          </w:p>
        </w:tc>
      </w:tr>
      <w:tr>
        <w:trPr>
          <w:tblHeader w:val="false"/>
        </w:trPr>
        <w:tc>
          <w:tcPr>
            <w:tcW w:type="dxa" w:w="26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개인정보처리자</w:t>
            </w:r>
          </w:p>
        </w:tc>
        <w:tc>
          <w:tcPr>
            <w:tcW w:type="dxa" w:w="676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상호 한솔 · 대표자 정재승 · 사업자등록번호 168-11-02066 · 전라남도 순천시 해룡면 순광로 214, 3층 · synerzy@synerzy.ai</w:t>
            </w:r>
          </w:p>
        </w:tc>
      </w:tr>
      <w:tr>
        <w:trPr>
          <w:tblHeader w:val="false"/>
        </w:trPr>
        <w:tc>
          <w:tcPr>
            <w:tcW w:type="dxa" w:w="26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개인정보 보호책임자</w:t>
            </w:r>
          </w:p>
        </w:tc>
        <w:tc>
          <w:tcPr>
            <w:tcW w:type="dxa" w:w="676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김선후 · 팀장 · synerzy@synerzy.ai · 070-7730-7176 (위치정보 관리책임자 겸임)</w:t>
            </w:r>
          </w:p>
        </w:tc>
      </w:tr>
      <w:tr>
        <w:trPr>
          <w:tblHeader w:val="false"/>
        </w:trPr>
        <w:tc>
          <w:tcPr>
            <w:tcW w:type="dxa" w:w="26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관련 문서</w:t>
            </w:r>
          </w:p>
        </w:tc>
        <w:tc>
          <w:tcPr>
            <w:tcW w:type="dxa" w:w="676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「이용약관」 제12조 · 「취소 및 환불 정책」 · 「파트너(제작자) 약관」. 위치기반 에이전트를 최종 이용자에게 제공하는 조직(빌더)은 이 방침 제2장을 기준으로 자기 서비스의 위치정보 이용약관·동의 화면을 갖추어야 함</w:t>
            </w:r>
          </w:p>
        </w:tc>
      </w:tr>
    </w:tbl>
    <w:p>
      <w:pPr>
        <w:spacing w:after="120" w:line="320"/>
      </w:pPr>
      <w:r>
        <w:rPr>
          <w:rFonts w:ascii="Malgun Gothic" w:cs="Malgun Gothic" w:eastAsia="Malgun Gothic" w:hAnsi="Malgun Gothic"/>
          <w:sz w:val="20"/>
          <w:szCs w:val="20"/>
        </w:rPr>
        <w:t xml:space="preserve"/>
      </w:r>
    </w:p>
    <w:p>
      <w:pPr>
        <w:pBdr>
          <w:left w:val="single" w:color="2B2F8F" w:sz="12" w:space="8"/>
        </w:pBdr>
        <w:spacing w:after="120" w:line="300"/>
        <w:ind w:left="240"/>
      </w:pPr>
      <w:r>
        <w:rPr>
          <w:rFonts w:ascii="Malgun Gothic" w:cs="Malgun Gothic" w:eastAsia="Malgun Gothic" w:hAnsi="Malgun Gothic"/>
          <w:b/>
          <w:bCs/>
          <w:color w:val="2B2F8F"/>
          <w:sz w:val="20"/>
          <w:szCs w:val="20"/>
        </w:rPr>
        <w:t xml:space="preserve">※ </w:t>
      </w:r>
      <w:r>
        <w:rPr>
          <w:rFonts w:ascii="Malgun Gothic" w:cs="Malgun Gothic" w:eastAsia="Malgun Gothic" w:hAnsi="Malgun Gothic"/>
          <w:color w:val="5F6368"/>
          <w:sz w:val="18"/>
          <w:szCs w:val="18"/>
        </w:rPr>
        <w:t xml:space="preserve">v0.1은 법률 검토 전 초안이다. 특히 제2장(위치정보)은 회사의 위치기반서비스사업자 신고 의무 해당 여부, 플랫폼(회사)과 빌더(조직) 사이의 책임 구분에 대한 전문가 컨설팅 결과에 따라 문구가 달라질 수 있으며, [법률 검토] 표시가 그 지점이다.</w:t>
      </w:r>
    </w:p>
    <w:p>
      <w:pPr>
        <w:pStyle w:val="Heading1"/>
        <w:spacing w:after="160" w:before="360"/>
      </w:pPr>
      <w:r>
        <w:rPr>
          <w:rFonts w:ascii="Malgun Gothic" w:cs="Malgun Gothic" w:eastAsia="Malgun Gothic" w:hAnsi="Malgun Gothic"/>
          <w:b/>
          <w:bCs/>
          <w:color w:val="2B2F8F"/>
          <w:sz w:val="30"/>
          <w:szCs w:val="30"/>
        </w:rPr>
        <w:t xml:space="preserve">제1장 개인정보의 처리</w:t>
      </w:r>
    </w:p>
    <w:p>
      <w:pPr>
        <w:pStyle w:val="Heading2"/>
        <w:spacing w:after="120" w:before="240"/>
      </w:pPr>
      <w:r>
        <w:rPr>
          <w:rFonts w:ascii="Malgun Gothic" w:cs="Malgun Gothic" w:eastAsia="Malgun Gothic" w:hAnsi="Malgun Gothic"/>
          <w:b/>
          <w:bCs/>
          <w:color w:val="1F1F1F"/>
          <w:sz w:val="24"/>
          <w:szCs w:val="24"/>
        </w:rPr>
        <w:t xml:space="preserve">1. 처리 목적</w:t>
      </w:r>
    </w:p>
    <w:p>
      <w:pPr>
        <w:spacing w:after="120" w:line="320"/>
      </w:pPr>
      <w:r>
        <w:rPr>
          <w:rFonts w:ascii="Malgun Gothic" w:cs="Malgun Gothic" w:eastAsia="Malgun Gothic" w:hAnsi="Malgun Gothic"/>
          <w:sz w:val="20"/>
          <w:szCs w:val="20"/>
        </w:rPr>
        <w:t xml:space="preserve">회사는 다음 목적으로 개인정보를 처리하며, 목적이 변경되면 「개인정보 보호법」 제18조에 따라 별도 동의를 받습니다.</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rPr>
          <w:tblHeader/>
        </w:trPr>
        <w:tc>
          <w:tcPr>
            <w:tcW w:type="dxa" w:w="2600"/>
            <w:tcBorders>
              <w:top w:val="single" w:color="C7C9D6" w:sz="4"/>
              <w:left w:val="single" w:color="C7C9D6" w:sz="4"/>
              <w:bottom w:val="single" w:color="C7C9D6" w:sz="4"/>
              <w:right w:val="single" w:color="C7C9D6" w:sz="4"/>
            </w:tcBorders>
            <w:shd w:fill="2B2F8F" w:color="auto" w:val="clear"/>
            <w:tcMar>
              <w:top w:type="dxa" w:w="80"/>
              <w:left w:type="dxa" w:w="120"/>
              <w:bottom w:type="dxa" w:w="80"/>
              <w:right w:type="dxa" w:w="120"/>
            </w:tcMar>
          </w:tcPr>
          <w:p>
            <w:pPr>
              <w:spacing w:after="0" w:line="280"/>
            </w:pPr>
            <w:r>
              <w:rPr>
                <w:rFonts w:ascii="Malgun Gothic" w:cs="Malgun Gothic" w:eastAsia="Malgun Gothic" w:hAnsi="Malgun Gothic"/>
                <w:b/>
                <w:bCs/>
                <w:color w:val="FFFFFF"/>
                <w:sz w:val="18"/>
                <w:szCs w:val="18"/>
              </w:rPr>
              <w:t xml:space="preserve">목적</w:t>
            </w:r>
          </w:p>
        </w:tc>
        <w:tc>
          <w:tcPr>
            <w:tcW w:type="dxa" w:w="6760"/>
            <w:tcBorders>
              <w:top w:val="single" w:color="C7C9D6" w:sz="4"/>
              <w:left w:val="single" w:color="C7C9D6" w:sz="4"/>
              <w:bottom w:val="single" w:color="C7C9D6" w:sz="4"/>
              <w:right w:val="single" w:color="C7C9D6" w:sz="4"/>
            </w:tcBorders>
            <w:shd w:fill="2B2F8F" w:color="auto" w:val="clear"/>
            <w:tcMar>
              <w:top w:type="dxa" w:w="80"/>
              <w:left w:type="dxa" w:w="120"/>
              <w:bottom w:type="dxa" w:w="80"/>
              <w:right w:type="dxa" w:w="120"/>
            </w:tcMar>
          </w:tcPr>
          <w:p>
            <w:pPr>
              <w:spacing w:after="0" w:line="280"/>
            </w:pPr>
            <w:r>
              <w:rPr>
                <w:rFonts w:ascii="Malgun Gothic" w:cs="Malgun Gothic" w:eastAsia="Malgun Gothic" w:hAnsi="Malgun Gothic"/>
                <w:b/>
                <w:bCs/>
                <w:color w:val="FFFFFF"/>
                <w:sz w:val="18"/>
                <w:szCs w:val="18"/>
              </w:rPr>
              <w:t xml:space="preserve">내용</w:t>
            </w:r>
          </w:p>
        </w:tc>
      </w:tr>
      <w:tr>
        <w:trPr>
          <w:tblHeader w:val="false"/>
        </w:trPr>
        <w:tc>
          <w:tcPr>
            <w:tcW w:type="dxa" w:w="26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회원 가입·관리</w:t>
            </w:r>
          </w:p>
        </w:tc>
        <w:tc>
          <w:tcPr>
            <w:tcW w:type="dxa" w:w="676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실명 인증(본인확인), 계정 생성·인증·관리, 조직 초대·좌석 배정, 부정 이용 방지, 만 14세 미만 가입 차단, 성인 인증</w:t>
            </w:r>
          </w:p>
        </w:tc>
      </w:tr>
      <w:tr>
        <w:trPr>
          <w:tblHeader w:val="false"/>
        </w:trPr>
        <w:tc>
          <w:tcPr>
            <w:tcW w:type="dxa" w:w="26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도입 문의·상담</w:t>
            </w:r>
          </w:p>
        </w:tc>
        <w:tc>
          <w:tcPr>
            <w:tcW w:type="dxa" w:w="676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도입 문의 접수·답변, 상담 진행</w:t>
            </w:r>
          </w:p>
        </w:tc>
      </w:tr>
      <w:tr>
        <w:trPr>
          <w:tblHeader w:val="false"/>
        </w:trPr>
        <w:tc>
          <w:tcPr>
            <w:tcW w:type="dxa" w:w="26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무료 체험·베타</w:t>
            </w:r>
          </w:p>
        </w:tc>
        <w:tc>
          <w:tcPr>
            <w:tcW w:type="dxa" w:w="676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신청 확인·체험 조직 개설·전환 안내·재체험 방지</w:t>
            </w:r>
          </w:p>
        </w:tc>
      </w:tr>
      <w:tr>
        <w:trPr>
          <w:tblHeader w:val="false"/>
        </w:trPr>
        <w:tc>
          <w:tcPr>
            <w:tcW w:type="dxa" w:w="26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서비스 제공</w:t>
            </w:r>
          </w:p>
        </w:tc>
        <w:tc>
          <w:tcPr>
            <w:tcW w:type="dxa" w:w="676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팀 채팅·에이전트 세션·자료 학습·툴 호출(툴 설정·외부 서비스 연동)·회의록 작성(녹음 전사)·업무·멀티에이전트·마켓플레이스 제공, 에이전트 답변 생성을 위한 LLM 처리, 추천 카드 제공, 조직 데이터 보존·복원</w:t>
            </w:r>
          </w:p>
        </w:tc>
      </w:tr>
      <w:tr>
        <w:trPr>
          <w:tblHeader w:val="false"/>
        </w:trPr>
        <w:tc>
          <w:tcPr>
            <w:tcW w:type="dxa" w:w="26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요금 결제·정산</w:t>
            </w:r>
          </w:p>
        </w:tc>
        <w:tc>
          <w:tcPr>
            <w:tcW w:type="dxa" w:w="676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구독·문 초과 사용·마켓 상품·광고의 결제, 세금계산서·현금영수증 발행, 환불·결제 오류 처리, 제작자·지면 주인에 대한 배분·정산(계좌 검증·원천징수·지급명세서)</w:t>
            </w:r>
          </w:p>
        </w:tc>
      </w:tr>
      <w:tr>
        <w:trPr>
          <w:tblHeader w:val="false"/>
        </w:trPr>
        <w:tc>
          <w:tcPr>
            <w:tcW w:type="dxa" w:w="26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고객 응대·분쟁 처리</w:t>
            </w:r>
          </w:p>
        </w:tc>
        <w:tc>
          <w:tcPr>
            <w:tcW w:type="dxa" w:w="676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VOC 에이전트 접수·처리, 침해 신고 처리, 이용 제한·이의 처리, 분쟁 조정 대응</w:t>
            </w:r>
          </w:p>
        </w:tc>
      </w:tr>
      <w:tr>
        <w:trPr>
          <w:tblHeader w:val="false"/>
        </w:trPr>
        <w:tc>
          <w:tcPr>
            <w:tcW w:type="dxa" w:w="26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안전·보안</w:t>
            </w:r>
          </w:p>
        </w:tc>
        <w:tc>
          <w:tcPr>
            <w:tcW w:type="dxa" w:w="676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접속 기록 보존, 계정 공유·자동화 남용 탐지, 부정 배분 검수, 장애 대응</w:t>
            </w:r>
          </w:p>
        </w:tc>
      </w:tr>
      <w:tr>
        <w:trPr>
          <w:tblHeader w:val="false"/>
        </w:trPr>
        <w:tc>
          <w:tcPr>
            <w:tcW w:type="dxa" w:w="26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감사(엔터프라이즈)</w:t>
            </w:r>
          </w:p>
        </w:tc>
        <w:tc>
          <w:tcPr>
            <w:tcW w:type="dxa" w:w="676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그룹·조직 관리자에 대한 사용량 감사 리포트 제공, 감사·보존 옵션 활성 그룹에 대한 세션 내용 감사·리걸 홀드·장기 보존</w:t>
            </w:r>
          </w:p>
        </w:tc>
      </w:tr>
      <w:tr>
        <w:trPr>
          <w:tblHeader w:val="false"/>
        </w:trPr>
        <w:tc>
          <w:tcPr>
            <w:tcW w:type="dxa" w:w="26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홈페이지 분석·광고 성과 측정(동의 시)</w:t>
            </w:r>
          </w:p>
        </w:tc>
        <w:tc>
          <w:tcPr>
            <w:tcW w:type="dxa" w:w="676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홈페이지 방문 분석, 광고 성과 측정 — 쿠키 배너에서 동의한 경우에만(9절)</w:t>
            </w:r>
          </w:p>
        </w:tc>
      </w:tr>
      <w:tr>
        <w:trPr>
          <w:tblHeader w:val="false"/>
        </w:trPr>
        <w:tc>
          <w:tcPr>
            <w:tcW w:type="dxa" w:w="26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마케팅(선택)</w:t>
            </w:r>
          </w:p>
        </w:tc>
        <w:tc>
          <w:tcPr>
            <w:tcW w:type="dxa" w:w="676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뉴스레터·이벤트·신규 기능 안내(별도 동의 시)</w:t>
            </w:r>
          </w:p>
        </w:tc>
      </w:tr>
    </w:tbl>
    <w:p>
      <w:pPr>
        <w:pStyle w:val="Heading2"/>
        <w:spacing w:after="120" w:before="240"/>
      </w:pPr>
      <w:r>
        <w:rPr>
          <w:rFonts w:ascii="Malgun Gothic" w:cs="Malgun Gothic" w:eastAsia="Malgun Gothic" w:hAnsi="Malgun Gothic"/>
          <w:b/>
          <w:bCs/>
          <w:color w:val="1F1F1F"/>
          <w:sz w:val="24"/>
          <w:szCs w:val="24"/>
        </w:rPr>
        <w:t xml:space="preserve">2. 처리하는 개인정보의 항목</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00"/>
        <w:gridCol w:w="3700"/>
        <w:gridCol w:w="2060"/>
        <w:gridCol w:w="1800"/>
      </w:tblGrid>
      <w:tr>
        <w:trPr>
          <w:tblHeader/>
        </w:trPr>
        <w:tc>
          <w:tcPr>
            <w:tcW w:type="dxa" w:w="1800"/>
            <w:tcBorders>
              <w:top w:val="single" w:color="C7C9D6" w:sz="4"/>
              <w:left w:val="single" w:color="C7C9D6" w:sz="4"/>
              <w:bottom w:val="single" w:color="C7C9D6" w:sz="4"/>
              <w:right w:val="single" w:color="C7C9D6" w:sz="4"/>
            </w:tcBorders>
            <w:shd w:fill="2B2F8F" w:color="auto" w:val="clear"/>
            <w:tcMar>
              <w:top w:type="dxa" w:w="80"/>
              <w:left w:type="dxa" w:w="120"/>
              <w:bottom w:type="dxa" w:w="80"/>
              <w:right w:type="dxa" w:w="120"/>
            </w:tcMar>
          </w:tcPr>
          <w:p>
            <w:pPr>
              <w:spacing w:after="0" w:line="280"/>
            </w:pPr>
            <w:r>
              <w:rPr>
                <w:rFonts w:ascii="Malgun Gothic" w:cs="Malgun Gothic" w:eastAsia="Malgun Gothic" w:hAnsi="Malgun Gothic"/>
                <w:b/>
                <w:bCs/>
                <w:color w:val="FFFFFF"/>
                <w:sz w:val="18"/>
                <w:szCs w:val="18"/>
              </w:rPr>
              <w:t xml:space="preserve">구분</w:t>
            </w:r>
          </w:p>
        </w:tc>
        <w:tc>
          <w:tcPr>
            <w:tcW w:type="dxa" w:w="3700"/>
            <w:tcBorders>
              <w:top w:val="single" w:color="C7C9D6" w:sz="4"/>
              <w:left w:val="single" w:color="C7C9D6" w:sz="4"/>
              <w:bottom w:val="single" w:color="C7C9D6" w:sz="4"/>
              <w:right w:val="single" w:color="C7C9D6" w:sz="4"/>
            </w:tcBorders>
            <w:shd w:fill="2B2F8F" w:color="auto" w:val="clear"/>
            <w:tcMar>
              <w:top w:type="dxa" w:w="80"/>
              <w:left w:type="dxa" w:w="120"/>
              <w:bottom w:type="dxa" w:w="80"/>
              <w:right w:type="dxa" w:w="120"/>
            </w:tcMar>
          </w:tcPr>
          <w:p>
            <w:pPr>
              <w:spacing w:after="0" w:line="280"/>
            </w:pPr>
            <w:r>
              <w:rPr>
                <w:rFonts w:ascii="Malgun Gothic" w:cs="Malgun Gothic" w:eastAsia="Malgun Gothic" w:hAnsi="Malgun Gothic"/>
                <w:b/>
                <w:bCs/>
                <w:color w:val="FFFFFF"/>
                <w:sz w:val="18"/>
                <w:szCs w:val="18"/>
              </w:rPr>
              <w:t xml:space="preserve">항목</w:t>
            </w:r>
          </w:p>
        </w:tc>
        <w:tc>
          <w:tcPr>
            <w:tcW w:type="dxa" w:w="2060"/>
            <w:tcBorders>
              <w:top w:val="single" w:color="C7C9D6" w:sz="4"/>
              <w:left w:val="single" w:color="C7C9D6" w:sz="4"/>
              <w:bottom w:val="single" w:color="C7C9D6" w:sz="4"/>
              <w:right w:val="single" w:color="C7C9D6" w:sz="4"/>
            </w:tcBorders>
            <w:shd w:fill="2B2F8F" w:color="auto" w:val="clear"/>
            <w:tcMar>
              <w:top w:type="dxa" w:w="80"/>
              <w:left w:type="dxa" w:w="120"/>
              <w:bottom w:type="dxa" w:w="80"/>
              <w:right w:type="dxa" w:w="120"/>
            </w:tcMar>
          </w:tcPr>
          <w:p>
            <w:pPr>
              <w:spacing w:after="0" w:line="280"/>
            </w:pPr>
            <w:r>
              <w:rPr>
                <w:rFonts w:ascii="Malgun Gothic" w:cs="Malgun Gothic" w:eastAsia="Malgun Gothic" w:hAnsi="Malgun Gothic"/>
                <w:b/>
                <w:bCs/>
                <w:color w:val="FFFFFF"/>
                <w:sz w:val="18"/>
                <w:szCs w:val="18"/>
              </w:rPr>
              <w:t xml:space="preserve">수집 방법</w:t>
            </w:r>
          </w:p>
        </w:tc>
        <w:tc>
          <w:tcPr>
            <w:tcW w:type="dxa" w:w="1800"/>
            <w:tcBorders>
              <w:top w:val="single" w:color="C7C9D6" w:sz="4"/>
              <w:left w:val="single" w:color="C7C9D6" w:sz="4"/>
              <w:bottom w:val="single" w:color="C7C9D6" w:sz="4"/>
              <w:right w:val="single" w:color="C7C9D6" w:sz="4"/>
            </w:tcBorders>
            <w:shd w:fill="2B2F8F" w:color="auto" w:val="clear"/>
            <w:tcMar>
              <w:top w:type="dxa" w:w="80"/>
              <w:left w:type="dxa" w:w="120"/>
              <w:bottom w:type="dxa" w:w="80"/>
              <w:right w:type="dxa" w:w="120"/>
            </w:tcMar>
          </w:tcPr>
          <w:p>
            <w:pPr>
              <w:spacing w:after="0" w:line="280"/>
            </w:pPr>
            <w:r>
              <w:rPr>
                <w:rFonts w:ascii="Malgun Gothic" w:cs="Malgun Gothic" w:eastAsia="Malgun Gothic" w:hAnsi="Malgun Gothic"/>
                <w:b/>
                <w:bCs/>
                <w:color w:val="FFFFFF"/>
                <w:sz w:val="18"/>
                <w:szCs w:val="18"/>
              </w:rPr>
              <w:t xml:space="preserve">처리 근거</w:t>
            </w:r>
          </w:p>
        </w:tc>
      </w:tr>
      <w:tr>
        <w:trPr>
          <w:tblHeader w:val="false"/>
        </w:trPr>
        <w:tc>
          <w:tcPr>
            <w:tcW w:type="dxa" w:w="18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필수(가입)</w:t>
            </w:r>
          </w:p>
        </w:tc>
        <w:tc>
          <w:tcPr>
            <w:tcW w:type="dxa" w:w="37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이름, 이메일, 휴대전화번호, 본인확인 정보(CI·DI 또는 인증기관 결과값), 비밀번호(암호화), 소속 조직명·직책(선택)</w:t>
            </w:r>
          </w:p>
        </w:tc>
        <w:tc>
          <w:tcPr>
            <w:tcW w:type="dxa" w:w="206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가입·인증 화면</w:t>
            </w:r>
          </w:p>
        </w:tc>
        <w:tc>
          <w:tcPr>
            <w:tcW w:type="dxa" w:w="18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계약 이행(동의 없음)</w:t>
            </w:r>
          </w:p>
        </w:tc>
      </w:tr>
      <w:tr>
        <w:trPr>
          <w:tblHeader w:val="false"/>
        </w:trPr>
        <w:tc>
          <w:tcPr>
            <w:tcW w:type="dxa" w:w="18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도입 문의</w:t>
            </w:r>
          </w:p>
        </w:tc>
        <w:tc>
          <w:tcPr>
            <w:tcW w:type="dxa" w:w="37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(필수) 회사명·이름·이메일·휴대전화·문의 내용 (선택) 직책·팀 규모</w:t>
            </w:r>
          </w:p>
        </w:tc>
        <w:tc>
          <w:tcPr>
            <w:tcW w:type="dxa" w:w="206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홈페이지 신청 폼</w:t>
            </w:r>
          </w:p>
        </w:tc>
        <w:tc>
          <w:tcPr>
            <w:tcW w:type="dxa" w:w="18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계약·요청 이행(동의 없음)</w:t>
            </w:r>
          </w:p>
        </w:tc>
      </w:tr>
      <w:tr>
        <w:trPr>
          <w:tblHeader w:val="false"/>
        </w:trPr>
        <w:tc>
          <w:tcPr>
            <w:tcW w:type="dxa" w:w="18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체험·베타</w:t>
            </w:r>
          </w:p>
        </w:tc>
        <w:tc>
          <w:tcPr>
            <w:tcW w:type="dxa" w:w="37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(필수) 회사명·이름·이메일·휴대전화 (선택) 사업자등록번호·직책·사용 목적</w:t>
            </w:r>
          </w:p>
        </w:tc>
        <w:tc>
          <w:tcPr>
            <w:tcW w:type="dxa" w:w="206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홈페이지 신청 폼</w:t>
            </w:r>
          </w:p>
        </w:tc>
        <w:tc>
          <w:tcPr>
            <w:tcW w:type="dxa" w:w="18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계약·요청 이행(동의 없음)</w:t>
            </w:r>
          </w:p>
        </w:tc>
      </w:tr>
      <w:tr>
        <w:trPr>
          <w:tblHeader w:val="false"/>
        </w:trPr>
        <w:tc>
          <w:tcPr>
            <w:tcW w:type="dxa" w:w="18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마케팅(선택)</w:t>
            </w:r>
          </w:p>
        </w:tc>
        <w:tc>
          <w:tcPr>
            <w:tcW w:type="dxa" w:w="37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이메일·휴대전화·동의 일시</w:t>
            </w:r>
          </w:p>
        </w:tc>
        <w:tc>
          <w:tcPr>
            <w:tcW w:type="dxa" w:w="206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홈페이지 신청 폼</w:t>
            </w:r>
          </w:p>
        </w:tc>
        <w:tc>
          <w:tcPr>
            <w:tcW w:type="dxa" w:w="18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동의(선택)</w:t>
            </w:r>
          </w:p>
        </w:tc>
      </w:tr>
      <w:tr>
        <w:trPr>
          <w:tblHeader w:val="false"/>
        </w:trPr>
        <w:tc>
          <w:tcPr>
            <w:tcW w:type="dxa" w:w="18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사업자 인증</w:t>
            </w:r>
          </w:p>
        </w:tc>
        <w:tc>
          <w:tcPr>
            <w:tcW w:type="dxa" w:w="37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사업자등록번호, 상호, 대표자명, 세금계산서 발행용 이메일</w:t>
            </w:r>
          </w:p>
        </w:tc>
        <w:tc>
          <w:tcPr>
            <w:tcW w:type="dxa" w:w="206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결제·정산 화면</w:t>
            </w:r>
          </w:p>
        </w:tc>
        <w:tc>
          <w:tcPr>
            <w:tcW w:type="dxa" w:w="18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계약 이행(동의 없음)</w:t>
            </w:r>
          </w:p>
        </w:tc>
      </w:tr>
      <w:tr>
        <w:trPr>
          <w:tblHeader w:val="false"/>
        </w:trPr>
        <w:tc>
          <w:tcPr>
            <w:tcW w:type="dxa" w:w="18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결제</w:t>
            </w:r>
          </w:p>
        </w:tc>
        <w:tc>
          <w:tcPr>
            <w:tcW w:type="dxa" w:w="37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결제수단 정보는 결제대행사가 처리하며 회사는 결제 토큰(빌링키)·승인번호·결제 내역만 보유. 계좌이체·가상계좌 입금자 정보</w:t>
            </w:r>
          </w:p>
        </w:tc>
        <w:tc>
          <w:tcPr>
            <w:tcW w:type="dxa" w:w="206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결제대행사 연동</w:t>
            </w:r>
          </w:p>
        </w:tc>
        <w:tc>
          <w:tcPr>
            <w:tcW w:type="dxa" w:w="18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계약 이행(동의 없음)</w:t>
            </w:r>
          </w:p>
        </w:tc>
      </w:tr>
      <w:tr>
        <w:trPr>
          <w:tblHeader w:val="false"/>
        </w:trPr>
        <w:tc>
          <w:tcPr>
            <w:tcW w:type="dxa" w:w="18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제작자 정산</w:t>
            </w:r>
          </w:p>
        </w:tc>
        <w:tc>
          <w:tcPr>
            <w:tcW w:type="dxa" w:w="37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실명, 정산 계좌(은행·계좌번호·예금주), 주민등록번호(원천징수·지급명세서 제출을 위한 법령상 근거, 소득세법 §164) 또는 사업자등록번호, 거주자 증명(해외)</w:t>
            </w:r>
          </w:p>
        </w:tc>
        <w:tc>
          <w:tcPr>
            <w:tcW w:type="dxa" w:w="206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정산 계좌 등록</w:t>
            </w:r>
          </w:p>
        </w:tc>
        <w:tc>
          <w:tcPr>
            <w:tcW w:type="dxa" w:w="18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계약 이행 · 법령(소득세법 §164)</w:t>
            </w:r>
          </w:p>
        </w:tc>
      </w:tr>
      <w:tr>
        <w:trPr>
          <w:tblHeader w:val="false"/>
        </w:trPr>
        <w:tc>
          <w:tcPr>
            <w:tcW w:type="dxa" w:w="18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성인 인증</w:t>
            </w:r>
          </w:p>
        </w:tc>
        <w:tc>
          <w:tcPr>
            <w:tcW w:type="dxa" w:w="37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연령 확인 결과값(생년월일은 인증기관에서 확인만 하고 보유하지 않음)</w:t>
            </w:r>
          </w:p>
        </w:tc>
        <w:tc>
          <w:tcPr>
            <w:tcW w:type="dxa" w:w="206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인증기관 연동</w:t>
            </w:r>
          </w:p>
        </w:tc>
        <w:tc>
          <w:tcPr>
            <w:tcW w:type="dxa" w:w="18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계약·요청 이행(동의 없음)</w:t>
            </w:r>
          </w:p>
        </w:tc>
      </w:tr>
      <w:tr>
        <w:trPr>
          <w:tblHeader w:val="false"/>
        </w:trPr>
        <w:tc>
          <w:tcPr>
            <w:tcW w:type="dxa" w:w="18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서비스 이용 과정</w:t>
            </w:r>
          </w:p>
        </w:tc>
        <w:tc>
          <w:tcPr>
            <w:tcW w:type="dxa" w:w="37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채팅·세션 내용, 업로드 자료, 에이전트 지침, 질의·답변 기록, 문 사용 내역, 추천 카드 클릭, 툴 호출 기록, 회의 녹음·전사본·회의록, 툴 연결 정보(외부 서비스 인증 토큰·계정 정보, 암호화)와 툴 공개 설정, 업무 기록, 초과 사용 내역</w:t>
            </w:r>
          </w:p>
        </w:tc>
        <w:tc>
          <w:tcPr>
            <w:tcW w:type="dxa" w:w="206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이용 중 생성</w:t>
            </w:r>
          </w:p>
        </w:tc>
        <w:tc>
          <w:tcPr>
            <w:tcW w:type="dxa" w:w="18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계약 이행(동의 없음)</w:t>
            </w:r>
          </w:p>
        </w:tc>
      </w:tr>
      <w:tr>
        <w:trPr>
          <w:tblHeader w:val="false"/>
        </w:trPr>
        <w:tc>
          <w:tcPr>
            <w:tcW w:type="dxa" w:w="18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자동 수집</w:t>
            </w:r>
          </w:p>
        </w:tc>
        <w:tc>
          <w:tcPr>
            <w:tcW w:type="dxa" w:w="37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접속 IP, 기기 정보(OS·브라우저·앱 버전·기기 식별자), 접속 로그, 쿠키·유사 기술, 푸시 토큰</w:t>
            </w:r>
          </w:p>
        </w:tc>
        <w:tc>
          <w:tcPr>
            <w:tcW w:type="dxa" w:w="206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자동</w:t>
            </w:r>
          </w:p>
        </w:tc>
        <w:tc>
          <w:tcPr>
            <w:tcW w:type="dxa" w:w="18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계약 이행(동의 없음) · 홈페이지 분석·광고 쿠키는 동의(선택, 9절)</w:t>
            </w:r>
          </w:p>
        </w:tc>
      </w:tr>
      <w:tr>
        <w:trPr>
          <w:tblHeader w:val="false"/>
        </w:trPr>
        <w:tc>
          <w:tcPr>
            <w:tcW w:type="dxa" w:w="18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위치정보(툴)</w:t>
            </w:r>
          </w:p>
        </w:tc>
        <w:tc>
          <w:tcPr>
            <w:tcW w:type="dxa" w:w="37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GPS 좌표(위·경도), 정확도, 수집 시각, 기기 식별자 — 제2장에 따름</w:t>
            </w:r>
          </w:p>
        </w:tc>
        <w:tc>
          <w:tcPr>
            <w:tcW w:type="dxa" w:w="206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이용자 기기(동의 후)</w:t>
            </w:r>
          </w:p>
        </w:tc>
        <w:tc>
          <w:tcPr>
            <w:tcW w:type="dxa" w:w="18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동의(제2장)</w:t>
            </w:r>
          </w:p>
        </w:tc>
      </w:tr>
    </w:tbl>
    <w:p>
      <w:pPr>
        <w:pBdr>
          <w:left w:val="single" w:color="2B2F8F" w:sz="12" w:space="8"/>
        </w:pBdr>
        <w:spacing w:after="120" w:line="300"/>
        <w:ind w:left="240"/>
      </w:pPr>
      <w:r>
        <w:rPr>
          <w:rFonts w:ascii="Malgun Gothic" w:cs="Malgun Gothic" w:eastAsia="Malgun Gothic" w:hAnsi="Malgun Gothic"/>
          <w:b/>
          <w:bCs/>
          <w:color w:val="2B2F8F"/>
          <w:sz w:val="20"/>
          <w:szCs w:val="20"/>
        </w:rPr>
        <w:t xml:space="preserve">※ </w:t>
      </w:r>
      <w:r>
        <w:rPr>
          <w:rFonts w:ascii="Malgun Gothic" w:cs="Malgun Gothic" w:eastAsia="Malgun Gothic" w:hAnsi="Malgun Gothic"/>
          <w:color w:val="5F6368"/>
          <w:sz w:val="18"/>
          <w:szCs w:val="18"/>
        </w:rPr>
        <w:t xml:space="preserve">회사는 민감정보(사상·신념·건강 등)를 수집 목적으로 요구하지 않는다. 이용자가 채팅·자료에 스스로 포함한 정보는 서비스 제공 목적 범위에서만 처리되며 별도로 분류·활용하지 않는다. 회의 음성은 전사와 화자 구분에만 쓰며, 목소리 특징을 저장해 사람을 알아보는 생체인식정보는 만들지 않는다.</w:t>
      </w:r>
    </w:p>
    <w:p>
      <w:pPr>
        <w:pStyle w:val="Heading2"/>
        <w:spacing w:after="120" w:before="240"/>
      </w:pPr>
      <w:r>
        <w:rPr>
          <w:rFonts w:ascii="Malgun Gothic" w:cs="Malgun Gothic" w:eastAsia="Malgun Gothic" w:hAnsi="Malgun Gothic"/>
          <w:b/>
          <w:bCs/>
          <w:color w:val="1F1F1F"/>
          <w:sz w:val="24"/>
          <w:szCs w:val="24"/>
        </w:rPr>
        <w:t xml:space="preserve">3. 처리 및 보유 기간</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200"/>
        <w:gridCol w:w="3400"/>
        <w:gridCol w:w="2760"/>
      </w:tblGrid>
      <w:tr>
        <w:trPr>
          <w:tblHeader/>
        </w:trPr>
        <w:tc>
          <w:tcPr>
            <w:tcW w:type="dxa" w:w="3200"/>
            <w:tcBorders>
              <w:top w:val="single" w:color="C7C9D6" w:sz="4"/>
              <w:left w:val="single" w:color="C7C9D6" w:sz="4"/>
              <w:bottom w:val="single" w:color="C7C9D6" w:sz="4"/>
              <w:right w:val="single" w:color="C7C9D6" w:sz="4"/>
            </w:tcBorders>
            <w:shd w:fill="2B2F8F" w:color="auto" w:val="clear"/>
            <w:tcMar>
              <w:top w:type="dxa" w:w="80"/>
              <w:left w:type="dxa" w:w="120"/>
              <w:bottom w:type="dxa" w:w="80"/>
              <w:right w:type="dxa" w:w="120"/>
            </w:tcMar>
          </w:tcPr>
          <w:p>
            <w:pPr>
              <w:spacing w:after="0" w:line="280"/>
            </w:pPr>
            <w:r>
              <w:rPr>
                <w:rFonts w:ascii="Malgun Gothic" w:cs="Malgun Gothic" w:eastAsia="Malgun Gothic" w:hAnsi="Malgun Gothic"/>
                <w:b/>
                <w:bCs/>
                <w:color w:val="FFFFFF"/>
                <w:sz w:val="18"/>
                <w:szCs w:val="18"/>
              </w:rPr>
              <w:t xml:space="preserve">항목</w:t>
            </w:r>
          </w:p>
        </w:tc>
        <w:tc>
          <w:tcPr>
            <w:tcW w:type="dxa" w:w="3400"/>
            <w:tcBorders>
              <w:top w:val="single" w:color="C7C9D6" w:sz="4"/>
              <w:left w:val="single" w:color="C7C9D6" w:sz="4"/>
              <w:bottom w:val="single" w:color="C7C9D6" w:sz="4"/>
              <w:right w:val="single" w:color="C7C9D6" w:sz="4"/>
            </w:tcBorders>
            <w:shd w:fill="2B2F8F" w:color="auto" w:val="clear"/>
            <w:tcMar>
              <w:top w:type="dxa" w:w="80"/>
              <w:left w:type="dxa" w:w="120"/>
              <w:bottom w:type="dxa" w:w="80"/>
              <w:right w:type="dxa" w:w="120"/>
            </w:tcMar>
          </w:tcPr>
          <w:p>
            <w:pPr>
              <w:spacing w:after="0" w:line="280"/>
            </w:pPr>
            <w:r>
              <w:rPr>
                <w:rFonts w:ascii="Malgun Gothic" w:cs="Malgun Gothic" w:eastAsia="Malgun Gothic" w:hAnsi="Malgun Gothic"/>
                <w:b/>
                <w:bCs/>
                <w:color w:val="FFFFFF"/>
                <w:sz w:val="18"/>
                <w:szCs w:val="18"/>
              </w:rPr>
              <w:t xml:space="preserve">보유 기간</w:t>
            </w:r>
          </w:p>
        </w:tc>
        <w:tc>
          <w:tcPr>
            <w:tcW w:type="dxa" w:w="2760"/>
            <w:tcBorders>
              <w:top w:val="single" w:color="C7C9D6" w:sz="4"/>
              <w:left w:val="single" w:color="C7C9D6" w:sz="4"/>
              <w:bottom w:val="single" w:color="C7C9D6" w:sz="4"/>
              <w:right w:val="single" w:color="C7C9D6" w:sz="4"/>
            </w:tcBorders>
            <w:shd w:fill="2B2F8F" w:color="auto" w:val="clear"/>
            <w:tcMar>
              <w:top w:type="dxa" w:w="80"/>
              <w:left w:type="dxa" w:w="120"/>
              <w:bottom w:type="dxa" w:w="80"/>
              <w:right w:type="dxa" w:w="120"/>
            </w:tcMar>
          </w:tcPr>
          <w:p>
            <w:pPr>
              <w:spacing w:after="0" w:line="280"/>
            </w:pPr>
            <w:r>
              <w:rPr>
                <w:rFonts w:ascii="Malgun Gothic" w:cs="Malgun Gothic" w:eastAsia="Malgun Gothic" w:hAnsi="Malgun Gothic"/>
                <w:b/>
                <w:bCs/>
                <w:color w:val="FFFFFF"/>
                <w:sz w:val="18"/>
                <w:szCs w:val="18"/>
              </w:rPr>
              <w:t xml:space="preserve">근거</w:t>
            </w:r>
          </w:p>
        </w:tc>
      </w:tr>
      <w:tr>
        <w:trPr>
          <w:tblHeader w:val="false"/>
        </w:trPr>
        <w:tc>
          <w:tcPr>
            <w:tcW w:type="dxa" w:w="32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회원 정보</w:t>
            </w:r>
          </w:p>
        </w:tc>
        <w:tc>
          <w:tcPr>
            <w:tcW w:type="dxa" w:w="34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계약 종료(탈퇴·조직 삭제) 후 30일 — 복원 유예 후 파기</w:t>
            </w:r>
          </w:p>
        </w:tc>
        <w:tc>
          <w:tcPr>
            <w:tcW w:type="dxa" w:w="276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이용약관 8조</w:t>
            </w:r>
          </w:p>
        </w:tc>
      </w:tr>
      <w:tr>
        <w:trPr>
          <w:tblHeader w:val="false"/>
        </w:trPr>
        <w:tc>
          <w:tcPr>
            <w:tcW w:type="dxa" w:w="32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조직 데이터(채팅·자료·세션·지침)</w:t>
            </w:r>
          </w:p>
        </w:tc>
        <w:tc>
          <w:tcPr>
            <w:tcW w:type="dxa" w:w="34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계약 종료 후 30일 · 무료 조직은 90일 미접속 시 고지 후 파기 · 감사·보존 옵션 그룹은 계약서에 정한 1~7년</w:t>
            </w:r>
          </w:p>
        </w:tc>
        <w:tc>
          <w:tcPr>
            <w:tcW w:type="dxa" w:w="276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이용약관 8조, 취소·환불 정책 4조</w:t>
            </w:r>
          </w:p>
        </w:tc>
      </w:tr>
      <w:tr>
        <w:trPr>
          <w:tblHeader w:val="false"/>
        </w:trPr>
        <w:tc>
          <w:tcPr>
            <w:tcW w:type="dxa" w:w="32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결제·환불·정산 기록</w:t>
            </w:r>
          </w:p>
        </w:tc>
        <w:tc>
          <w:tcPr>
            <w:tcW w:type="dxa" w:w="34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5년</w:t>
            </w:r>
          </w:p>
        </w:tc>
        <w:tc>
          <w:tcPr>
            <w:tcW w:type="dxa" w:w="276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전자상거래법 §6 · 국세기본법</w:t>
            </w:r>
          </w:p>
        </w:tc>
      </w:tr>
      <w:tr>
        <w:trPr>
          <w:tblHeader w:val="false"/>
        </w:trPr>
        <w:tc>
          <w:tcPr>
            <w:tcW w:type="dxa" w:w="32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소비자 불만·분쟁 처리 기록</w:t>
            </w:r>
          </w:p>
        </w:tc>
        <w:tc>
          <w:tcPr>
            <w:tcW w:type="dxa" w:w="34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3년</w:t>
            </w:r>
          </w:p>
        </w:tc>
        <w:tc>
          <w:tcPr>
            <w:tcW w:type="dxa" w:w="276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전자상거래법 §6</w:t>
            </w:r>
          </w:p>
        </w:tc>
      </w:tr>
      <w:tr>
        <w:trPr>
          <w:tblHeader w:val="false"/>
        </w:trPr>
        <w:tc>
          <w:tcPr>
            <w:tcW w:type="dxa" w:w="32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침해 신고·차단·소명 기록</w:t>
            </w:r>
          </w:p>
        </w:tc>
        <w:tc>
          <w:tcPr>
            <w:tcW w:type="dxa" w:w="34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3년</w:t>
            </w:r>
          </w:p>
        </w:tc>
        <w:tc>
          <w:tcPr>
            <w:tcW w:type="dxa" w:w="276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파트너 약관 9조</w:t>
            </w:r>
          </w:p>
        </w:tc>
      </w:tr>
      <w:tr>
        <w:trPr>
          <w:tblHeader w:val="false"/>
        </w:trPr>
        <w:tc>
          <w:tcPr>
            <w:tcW w:type="dxa" w:w="32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접속 로그(IP·접속 기록)</w:t>
            </w:r>
          </w:p>
        </w:tc>
        <w:tc>
          <w:tcPr>
            <w:tcW w:type="dxa" w:w="34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3개월 이상 (통신비밀보호법 §15의2) · 보안 목적 최대 1년</w:t>
            </w:r>
          </w:p>
        </w:tc>
        <w:tc>
          <w:tcPr>
            <w:tcW w:type="dxa" w:w="276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통신비밀보호법</w:t>
            </w:r>
          </w:p>
        </w:tc>
      </w:tr>
      <w:tr>
        <w:trPr>
          <w:tblHeader w:val="false"/>
        </w:trPr>
        <w:tc>
          <w:tcPr>
            <w:tcW w:type="dxa" w:w="32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본인확인 정보(CI·DI)</w:t>
            </w:r>
          </w:p>
        </w:tc>
        <w:tc>
          <w:tcPr>
            <w:tcW w:type="dxa" w:w="34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회원 탈퇴 시 파기 · 재가입 방지 목적 해시값 1년</w:t>
            </w:r>
          </w:p>
        </w:tc>
        <w:tc>
          <w:tcPr>
            <w:tcW w:type="dxa" w:w="276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이용약관 4조·7조</w:t>
            </w:r>
          </w:p>
        </w:tc>
      </w:tr>
      <w:tr>
        <w:trPr>
          <w:tblHeader w:val="false"/>
        </w:trPr>
        <w:tc>
          <w:tcPr>
            <w:tcW w:type="dxa" w:w="32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도입 문의 정보</w:t>
            </w:r>
          </w:p>
        </w:tc>
        <w:tc>
          <w:tcPr>
            <w:tcW w:type="dxa" w:w="34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상담 종료 후 1년</w:t>
            </w:r>
          </w:p>
        </w:tc>
        <w:tc>
          <w:tcPr>
            <w:tcW w:type="dxa" w:w="276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회사 방침</w:t>
            </w:r>
          </w:p>
        </w:tc>
      </w:tr>
      <w:tr>
        <w:trPr>
          <w:tblHeader w:val="false"/>
        </w:trPr>
        <w:tc>
          <w:tcPr>
            <w:tcW w:type="dxa" w:w="32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무료 체험 데이터(세션·자료·업무·툴 설정)</w:t>
            </w:r>
          </w:p>
        </w:tc>
        <w:tc>
          <w:tcPr>
            <w:tcW w:type="dxa" w:w="34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체험 종료 후 30일 보관 후 파기(그 안에 유료 전환하면 복원)</w:t>
            </w:r>
          </w:p>
        </w:tc>
        <w:tc>
          <w:tcPr>
            <w:tcW w:type="dxa" w:w="276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요금표 3-2</w:t>
            </w:r>
          </w:p>
        </w:tc>
      </w:tr>
      <w:tr>
        <w:trPr>
          <w:tblHeader w:val="false"/>
        </w:trPr>
        <w:tc>
          <w:tcPr>
            <w:tcW w:type="dxa" w:w="32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체험 이력(CI 해시·사업자번호·체험일)</w:t>
            </w:r>
          </w:p>
        </w:tc>
        <w:tc>
          <w:tcPr>
            <w:tcW w:type="dxa" w:w="34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1년</w:t>
            </w:r>
          </w:p>
        </w:tc>
        <w:tc>
          <w:tcPr>
            <w:tcW w:type="dxa" w:w="276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요금표 3-2·6장(재체험 방지)</w:t>
            </w:r>
          </w:p>
        </w:tc>
      </w:tr>
      <w:tr>
        <w:trPr>
          <w:tblHeader w:val="false"/>
        </w:trPr>
        <w:tc>
          <w:tcPr>
            <w:tcW w:type="dxa" w:w="32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전환하지 않은 체험의 결제수단 토큰(빌링키)</w:t>
            </w:r>
          </w:p>
        </w:tc>
        <w:tc>
          <w:tcPr>
            <w:tcW w:type="dxa" w:w="34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체험 종료 즉시 파기</w:t>
            </w:r>
          </w:p>
        </w:tc>
        <w:tc>
          <w:tcPr>
            <w:tcW w:type="dxa" w:w="276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회사 방침</w:t>
            </w:r>
          </w:p>
        </w:tc>
      </w:tr>
      <w:tr>
        <w:trPr>
          <w:tblHeader w:val="false"/>
        </w:trPr>
        <w:tc>
          <w:tcPr>
            <w:tcW w:type="dxa" w:w="32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마케팅 수신 동의 기록</w:t>
            </w:r>
          </w:p>
        </w:tc>
        <w:tc>
          <w:tcPr>
            <w:tcW w:type="dxa" w:w="34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동의 철회 시까지(2년마다 수신 동의 재확인)</w:t>
            </w:r>
          </w:p>
        </w:tc>
        <w:tc>
          <w:tcPr>
            <w:tcW w:type="dxa" w:w="276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정보통신망법 §50</w:t>
            </w:r>
          </w:p>
        </w:tc>
      </w:tr>
      <w:tr>
        <w:trPr>
          <w:tblHeader w:val="false"/>
        </w:trPr>
        <w:tc>
          <w:tcPr>
            <w:tcW w:type="dxa" w:w="32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위치정보 및 이용·제공사실 확인자료</w:t>
            </w:r>
          </w:p>
        </w:tc>
        <w:tc>
          <w:tcPr>
            <w:tcW w:type="dxa" w:w="34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제2장 참조</w:t>
            </w:r>
          </w:p>
        </w:tc>
        <w:tc>
          <w:tcPr>
            <w:tcW w:type="dxa" w:w="276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위치정보법 §16</w:t>
            </w:r>
          </w:p>
        </w:tc>
      </w:tr>
    </w:tbl>
    <w:p>
      <w:pPr>
        <w:pStyle w:val="Heading2"/>
        <w:spacing w:after="120" w:before="240"/>
      </w:pPr>
      <w:r>
        <w:rPr>
          <w:rFonts w:ascii="Malgun Gothic" w:cs="Malgun Gothic" w:eastAsia="Malgun Gothic" w:hAnsi="Malgun Gothic"/>
          <w:b/>
          <w:bCs/>
          <w:color w:val="1F1F1F"/>
          <w:sz w:val="24"/>
          <w:szCs w:val="24"/>
        </w:rPr>
        <w:t xml:space="preserve">4. 제3자 제공</w:t>
      </w:r>
    </w:p>
    <w:p>
      <w:pPr>
        <w:pStyle w:val="ListParagraph"/>
        <w:numPr>
          <w:ilvl w:val="0"/>
          <w:numId w:val="2"/>
        </w:numPr>
        <w:spacing w:after="60" w:line="300"/>
      </w:pPr>
      <w:r>
        <w:rPr>
          <w:rFonts w:ascii="Malgun Gothic" w:cs="Malgun Gothic" w:eastAsia="Malgun Gothic" w:hAnsi="Malgun Gothic"/>
          <w:sz w:val="20"/>
          <w:szCs w:val="20"/>
        </w:rPr>
        <w:t xml:space="preserve">회사는 이용자의 개인정보를 원칙적으로 제3자에게 제공하지 않으며, 다음의 경우에 한합니다: ① 이용자가 사전에 동의한 경우, ② 법령에 근거가 있거나 수사기관·법원의 적법한 요청이 있는 경우, ③ 침해 신고 처리 과정에서 청구인에게 제작자 정보를 제공하는 경우(파트너 약관 4조 — 제작자 동의 범위), ④ 조직 관리자·그룹 관리자에게 조직 운영에 필요한 구성원 정보(이름·이메일·좌석 상태·사용량·초과 사용액)를 표시하는 경우, ⑤ 이용자가 툴로 외부 서비스(계좌 조회·보험 조회 등)를 실행하는 경우(툴을 처음 연결할 때 제공받는 자·목적·항목·보유 기간을 알리고 툴마다 동의를 받으며, 툴별 현황은 별표에 게시합니다).</w:t>
      </w:r>
    </w:p>
    <w:p>
      <w:pPr>
        <w:pStyle w:val="ListParagraph"/>
        <w:numPr>
          <w:ilvl w:val="0"/>
          <w:numId w:val="2"/>
        </w:numPr>
        <w:spacing w:after="60" w:line="300"/>
      </w:pPr>
      <w:r>
        <w:rPr>
          <w:rFonts w:ascii="Malgun Gothic" w:cs="Malgun Gothic" w:eastAsia="Malgun Gothic" w:hAnsi="Malgun Gothic"/>
          <w:sz w:val="20"/>
          <w:szCs w:val="20"/>
        </w:rPr>
        <w:t xml:space="preserve">마켓플레이스 복제형 상품 거래에서 회사는 통신판매중개자로서 거래 성립에 필요한 범위에서 구매자 조직명과 제작자명을 상호 표시합니다.</w:t>
      </w:r>
    </w:p>
    <w:p>
      <w:pPr>
        <w:pStyle w:val="Heading2"/>
        <w:spacing w:after="120" w:before="240"/>
      </w:pPr>
      <w:r>
        <w:rPr>
          <w:rFonts w:ascii="Malgun Gothic" w:cs="Malgun Gothic" w:eastAsia="Malgun Gothic" w:hAnsi="Malgun Gothic"/>
          <w:b/>
          <w:bCs/>
          <w:color w:val="1F1F1F"/>
          <w:sz w:val="24"/>
          <w:szCs w:val="24"/>
        </w:rPr>
        <w:t xml:space="preserve">5. 처리 위탁 및 국외 이전</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200"/>
        <w:gridCol w:w="5360"/>
        <w:gridCol w:w="1800"/>
      </w:tblGrid>
      <w:tr>
        <w:trPr>
          <w:tblHeader/>
        </w:trPr>
        <w:tc>
          <w:tcPr>
            <w:tcW w:type="dxa" w:w="2200"/>
            <w:tcBorders>
              <w:top w:val="single" w:color="C7C9D6" w:sz="4"/>
              <w:left w:val="single" w:color="C7C9D6" w:sz="4"/>
              <w:bottom w:val="single" w:color="C7C9D6" w:sz="4"/>
              <w:right w:val="single" w:color="C7C9D6" w:sz="4"/>
            </w:tcBorders>
            <w:shd w:fill="2B2F8F" w:color="auto" w:val="clear"/>
            <w:tcMar>
              <w:top w:type="dxa" w:w="80"/>
              <w:left w:type="dxa" w:w="120"/>
              <w:bottom w:type="dxa" w:w="80"/>
              <w:right w:type="dxa" w:w="120"/>
            </w:tcMar>
          </w:tcPr>
          <w:p>
            <w:pPr>
              <w:spacing w:after="0" w:line="280"/>
            </w:pPr>
            <w:r>
              <w:rPr>
                <w:rFonts w:ascii="Malgun Gothic" w:cs="Malgun Gothic" w:eastAsia="Malgun Gothic" w:hAnsi="Malgun Gothic"/>
                <w:b/>
                <w:bCs/>
                <w:color w:val="FFFFFF"/>
                <w:sz w:val="18"/>
                <w:szCs w:val="18"/>
              </w:rPr>
              <w:t xml:space="preserve">업무 유형</w:t>
            </w:r>
          </w:p>
        </w:tc>
        <w:tc>
          <w:tcPr>
            <w:tcW w:type="dxa" w:w="5360"/>
            <w:tcBorders>
              <w:top w:val="single" w:color="C7C9D6" w:sz="4"/>
              <w:left w:val="single" w:color="C7C9D6" w:sz="4"/>
              <w:bottom w:val="single" w:color="C7C9D6" w:sz="4"/>
              <w:right w:val="single" w:color="C7C9D6" w:sz="4"/>
            </w:tcBorders>
            <w:shd w:fill="2B2F8F" w:color="auto" w:val="clear"/>
            <w:tcMar>
              <w:top w:type="dxa" w:w="80"/>
              <w:left w:type="dxa" w:w="120"/>
              <w:bottom w:type="dxa" w:w="80"/>
              <w:right w:type="dxa" w:w="120"/>
            </w:tcMar>
          </w:tcPr>
          <w:p>
            <w:pPr>
              <w:spacing w:after="0" w:line="280"/>
            </w:pPr>
            <w:r>
              <w:rPr>
                <w:rFonts w:ascii="Malgun Gothic" w:cs="Malgun Gothic" w:eastAsia="Malgun Gothic" w:hAnsi="Malgun Gothic"/>
                <w:b/>
                <w:bCs/>
                <w:color w:val="FFFFFF"/>
                <w:sz w:val="18"/>
                <w:szCs w:val="18"/>
              </w:rPr>
              <w:t xml:space="preserve">위탁하는 업무</w:t>
            </w:r>
          </w:p>
        </w:tc>
        <w:tc>
          <w:tcPr>
            <w:tcW w:type="dxa" w:w="1800"/>
            <w:tcBorders>
              <w:top w:val="single" w:color="C7C9D6" w:sz="4"/>
              <w:left w:val="single" w:color="C7C9D6" w:sz="4"/>
              <w:bottom w:val="single" w:color="C7C9D6" w:sz="4"/>
              <w:right w:val="single" w:color="C7C9D6" w:sz="4"/>
            </w:tcBorders>
            <w:shd w:fill="2B2F8F" w:color="auto" w:val="clear"/>
            <w:tcMar>
              <w:top w:type="dxa" w:w="80"/>
              <w:left w:type="dxa" w:w="120"/>
              <w:bottom w:type="dxa" w:w="80"/>
              <w:right w:type="dxa" w:w="120"/>
            </w:tcMar>
          </w:tcPr>
          <w:p>
            <w:pPr>
              <w:spacing w:after="0" w:line="280"/>
            </w:pPr>
            <w:r>
              <w:rPr>
                <w:rFonts w:ascii="Malgun Gothic" w:cs="Malgun Gothic" w:eastAsia="Malgun Gothic" w:hAnsi="Malgun Gothic"/>
                <w:b/>
                <w:bCs/>
                <w:color w:val="FFFFFF"/>
                <w:sz w:val="18"/>
                <w:szCs w:val="18"/>
              </w:rPr>
              <w:t xml:space="preserve">수탁자 · 국외 이전</w:t>
            </w:r>
          </w:p>
        </w:tc>
      </w:tr>
      <w:tr>
        <w:trPr>
          <w:tblHeader w:val="false"/>
        </w:trPr>
        <w:tc>
          <w:tcPr>
            <w:tcW w:type="dxa" w:w="22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클라우드 인프라</w:t>
            </w:r>
          </w:p>
        </w:tc>
        <w:tc>
          <w:tcPr>
            <w:tcW w:type="dxa" w:w="536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서버·저장소·백업</w:t>
            </w:r>
          </w:p>
        </w:tc>
        <w:tc>
          <w:tcPr>
            <w:tcW w:type="dxa" w:w="18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별표 참조</w:t>
            </w:r>
          </w:p>
        </w:tc>
      </w:tr>
      <w:tr>
        <w:trPr>
          <w:tblHeader w:val="false"/>
        </w:trPr>
        <w:tc>
          <w:tcPr>
            <w:tcW w:type="dxa" w:w="22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AI 모델(LLM)</w:t>
            </w:r>
          </w:p>
        </w:tc>
        <w:tc>
          <w:tcPr>
            <w:tcW w:type="dxa" w:w="536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에이전트 답변 생성을 위한 질의·컨텍스트(채팅·자료 발췌) 처리</w:t>
            </w:r>
          </w:p>
        </w:tc>
        <w:tc>
          <w:tcPr>
            <w:tcW w:type="dxa" w:w="18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별표 참조</w:t>
            </w:r>
          </w:p>
        </w:tc>
      </w:tr>
      <w:tr>
        <w:trPr>
          <w:tblHeader w:val="false"/>
        </w:trPr>
        <w:tc>
          <w:tcPr>
            <w:tcW w:type="dxa" w:w="22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음성 전사</w:t>
            </w:r>
          </w:p>
        </w:tc>
        <w:tc>
          <w:tcPr>
            <w:tcW w:type="dxa" w:w="536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회의록 작성을 위한 회의 음성 전사</w:t>
            </w:r>
          </w:p>
        </w:tc>
        <w:tc>
          <w:tcPr>
            <w:tcW w:type="dxa" w:w="18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별표 참조</w:t>
            </w:r>
          </w:p>
        </w:tc>
      </w:tr>
      <w:tr>
        <w:trPr>
          <w:tblHeader w:val="false"/>
        </w:trPr>
        <w:tc>
          <w:tcPr>
            <w:tcW w:type="dxa" w:w="22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문의 분류·추천</w:t>
            </w:r>
          </w:p>
        </w:tc>
        <w:tc>
          <w:tcPr>
            <w:tcW w:type="dxa" w:w="536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고객 문의 분류·에이전트 추천 판정(개인정보 마스킹 후 전송)</w:t>
            </w:r>
          </w:p>
        </w:tc>
        <w:tc>
          <w:tcPr>
            <w:tcW w:type="dxa" w:w="18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별표 참조</w:t>
            </w:r>
          </w:p>
        </w:tc>
      </w:tr>
      <w:tr>
        <w:trPr>
          <w:tblHeader w:val="false"/>
        </w:trPr>
        <w:tc>
          <w:tcPr>
            <w:tcW w:type="dxa" w:w="22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결제</w:t>
            </w:r>
          </w:p>
        </w:tc>
        <w:tc>
          <w:tcPr>
            <w:tcW w:type="dxa" w:w="536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결제 처리, 빌링키 관리, 지급대행·배분금 송금(계좌 검증·원천징수 지원)</w:t>
            </w:r>
          </w:p>
        </w:tc>
        <w:tc>
          <w:tcPr>
            <w:tcW w:type="dxa" w:w="18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별표 참조</w:t>
            </w:r>
          </w:p>
        </w:tc>
      </w:tr>
      <w:tr>
        <w:trPr>
          <w:tblHeader w:val="false"/>
        </w:trPr>
        <w:tc>
          <w:tcPr>
            <w:tcW w:type="dxa" w:w="22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본인확인</w:t>
            </w:r>
          </w:p>
        </w:tc>
        <w:tc>
          <w:tcPr>
            <w:tcW w:type="dxa" w:w="536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실명·연령 확인</w:t>
            </w:r>
          </w:p>
        </w:tc>
        <w:tc>
          <w:tcPr>
            <w:tcW w:type="dxa" w:w="18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별표 참조</w:t>
            </w:r>
          </w:p>
        </w:tc>
      </w:tr>
      <w:tr>
        <w:trPr>
          <w:tblHeader w:val="false"/>
        </w:trPr>
        <w:tc>
          <w:tcPr>
            <w:tcW w:type="dxa" w:w="22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메시지 발송</w:t>
            </w:r>
          </w:p>
        </w:tc>
        <w:tc>
          <w:tcPr>
            <w:tcW w:type="dxa" w:w="536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알림·인증번호 발송</w:t>
            </w:r>
          </w:p>
        </w:tc>
        <w:tc>
          <w:tcPr>
            <w:tcW w:type="dxa" w:w="18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별표 참조</w:t>
            </w:r>
          </w:p>
        </w:tc>
      </w:tr>
      <w:tr>
        <w:trPr>
          <w:tblHeader w:val="false"/>
        </w:trPr>
        <w:tc>
          <w:tcPr>
            <w:tcW w:type="dxa" w:w="22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지도·위치</w:t>
            </w:r>
          </w:p>
        </w:tc>
        <w:tc>
          <w:tcPr>
            <w:tcW w:type="dxa" w:w="536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위치 좌표의 주소 변환·지도 표시(제2장)</w:t>
            </w:r>
          </w:p>
        </w:tc>
        <w:tc>
          <w:tcPr>
            <w:tcW w:type="dxa" w:w="18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별표 참조</w:t>
            </w:r>
          </w:p>
        </w:tc>
      </w:tr>
      <w:tr>
        <w:trPr>
          <w:tblHeader w:val="false"/>
        </w:trPr>
        <w:tc>
          <w:tcPr>
            <w:tcW w:type="dxa" w:w="22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신청 폼·뉴스레터</w:t>
            </w:r>
          </w:p>
        </w:tc>
        <w:tc>
          <w:tcPr>
            <w:tcW w:type="dxa" w:w="536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도입 문의·체험 신청 접수, 뉴스레터 발송</w:t>
            </w:r>
          </w:p>
        </w:tc>
        <w:tc>
          <w:tcPr>
            <w:tcW w:type="dxa" w:w="18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별표 참조</w:t>
            </w:r>
          </w:p>
        </w:tc>
      </w:tr>
    </w:tbl>
    <w:p>
      <w:pPr>
        <w:spacing w:after="120" w:line="320"/>
      </w:pPr>
      <w:r>
        <w:rPr>
          <w:rFonts w:ascii="Malgun Gothic" w:cs="Malgun Gothic" w:eastAsia="Malgun Gothic" w:hAnsi="Malgun Gothic"/>
          <w:sz w:val="20"/>
          <w:szCs w:val="20"/>
        </w:rPr>
        <w:t xml:space="preserve">수탁자의 명칭과 국외 이전 사항(이전 항목, 국가·시기·방법, 이전받는 자의 명칭·연락처, 이용 목적·보유 기간, 거부 방법·절차·효과)은 이 방침의 별표 「수탁사·국외 이전 현황」(홈페이지 게시)에 상시 게재합니다.</w:t>
      </w:r>
    </w:p>
    <w:p>
      <w:pPr>
        <w:pBdr>
          <w:left w:val="single" w:color="2B2F8F" w:sz="12" w:space="8"/>
        </w:pBdr>
        <w:spacing w:after="120" w:line="300"/>
        <w:ind w:left="240"/>
      </w:pPr>
      <w:r>
        <w:rPr>
          <w:rFonts w:ascii="Malgun Gothic" w:cs="Malgun Gothic" w:eastAsia="Malgun Gothic" w:hAnsi="Malgun Gothic"/>
          <w:b/>
          <w:bCs/>
          <w:color w:val="2B2F8F"/>
          <w:sz w:val="20"/>
          <w:szCs w:val="20"/>
        </w:rPr>
        <w:t xml:space="preserve">※ </w:t>
      </w:r>
      <w:r>
        <w:rPr>
          <w:rFonts w:ascii="Malgun Gothic" w:cs="Malgun Gothic" w:eastAsia="Malgun Gothic" w:hAnsi="Malgun Gothic"/>
          <w:color w:val="5F6368"/>
          <w:sz w:val="18"/>
          <w:szCs w:val="18"/>
        </w:rPr>
        <w:t xml:space="preserve">수탁자·국외 이전 대상의 추가·변경은 별표에 반영하고 시행 7일 전 공지한다(마케팅 발송 수탁자 변경은 수신 동의자에게 따로 알린다). LLM 제공사에 전송되는 데이터는 답변 생성에 필요한 최소 범위로 제한하며, 회사는 이용자 조직의 데이터를 회사 또는 제3자의 모델 학습에 제공하지 않는다.</w:t>
      </w:r>
    </w:p>
    <w:p>
      <w:pPr>
        <w:pStyle w:val="Heading2"/>
        <w:spacing w:after="120" w:before="240"/>
      </w:pPr>
      <w:r>
        <w:rPr>
          <w:rFonts w:ascii="Malgun Gothic" w:cs="Malgun Gothic" w:eastAsia="Malgun Gothic" w:hAnsi="Malgun Gothic"/>
          <w:b/>
          <w:bCs/>
          <w:color w:val="1F1F1F"/>
          <w:sz w:val="24"/>
          <w:szCs w:val="24"/>
        </w:rPr>
        <w:t xml:space="preserve">6. 파기 절차와 방법</w:t>
      </w:r>
    </w:p>
    <w:p>
      <w:pPr>
        <w:pStyle w:val="ListParagraph"/>
        <w:numPr>
          <w:ilvl w:val="0"/>
          <w:numId w:val="2"/>
        </w:numPr>
        <w:spacing w:after="60" w:line="300"/>
      </w:pPr>
      <w:r>
        <w:rPr>
          <w:rFonts w:ascii="Malgun Gothic" w:cs="Malgun Gothic" w:eastAsia="Malgun Gothic" w:hAnsi="Malgun Gothic"/>
          <w:sz w:val="20"/>
          <w:szCs w:val="20"/>
        </w:rPr>
        <w:t xml:space="preserve">보유 기간이 지나거나 처리 목적이 달성된 개인정보는 지체 없이 파기합니다. 전자 파일은 복구할 수 없는 방법으로 삭제하고, 출력물은 분쇄·소각합니다. 법령상 보존 의무가 있는 정보는 다른 정보와 분리하여 보존 기간 동안만 보관합니다.</w:t>
      </w:r>
    </w:p>
    <w:p>
      <w:pPr>
        <w:pStyle w:val="Heading2"/>
        <w:spacing w:after="120" w:before="240"/>
      </w:pPr>
      <w:r>
        <w:rPr>
          <w:rFonts w:ascii="Malgun Gothic" w:cs="Malgun Gothic" w:eastAsia="Malgun Gothic" w:hAnsi="Malgun Gothic"/>
          <w:b/>
          <w:bCs/>
          <w:color w:val="1F1F1F"/>
          <w:sz w:val="24"/>
          <w:szCs w:val="24"/>
        </w:rPr>
        <w:t xml:space="preserve">7. 정보주체의 권리와 행사 방법</w:t>
      </w:r>
    </w:p>
    <w:p>
      <w:pPr>
        <w:pStyle w:val="ListParagraph"/>
        <w:numPr>
          <w:ilvl w:val="0"/>
          <w:numId w:val="2"/>
        </w:numPr>
        <w:spacing w:after="60" w:line="300"/>
      </w:pPr>
      <w:r>
        <w:rPr>
          <w:rFonts w:ascii="Malgun Gothic" w:cs="Malgun Gothic" w:eastAsia="Malgun Gothic" w:hAnsi="Malgun Gothic"/>
          <w:sz w:val="20"/>
          <w:szCs w:val="20"/>
        </w:rPr>
        <w:t xml:space="preserve">이용자는 언제든지 개인정보 열람·정정·삭제·처리정지·동의 철회를 요구할 수 있으며, 서비스 내 [설정 › 계정] 또는 VOC 에이전트로 요청하면 회사는 10일 이내에 조치합니다. 법령상 보존 의무가 있는 정보, 조직 소유 데이터(이용약관 8조)는 삭제 요구가 제한될 수 있으며 그 사유를 통지합니다.</w:t>
      </w:r>
    </w:p>
    <w:p>
      <w:pPr>
        <w:pStyle w:val="ListParagraph"/>
        <w:numPr>
          <w:ilvl w:val="0"/>
          <w:numId w:val="2"/>
        </w:numPr>
        <w:spacing w:after="60" w:line="300"/>
      </w:pPr>
      <w:r>
        <w:rPr>
          <w:rFonts w:ascii="Malgun Gothic" w:cs="Malgun Gothic" w:eastAsia="Malgun Gothic" w:hAnsi="Malgun Gothic"/>
          <w:sz w:val="20"/>
          <w:szCs w:val="20"/>
        </w:rPr>
        <w:t xml:space="preserve">만 14세 미만 아동의 개인정보는 수집하지 않으며, 확인 시 즉시 파기합니다. 이용자는 대리인을 통해 권리를 행사할 수 있고, 회사는 권리 행사자가 본인 또는 정당한 대리인인지 확인합니다.</w:t>
      </w:r>
    </w:p>
    <w:p>
      <w:pPr>
        <w:pStyle w:val="ListParagraph"/>
        <w:numPr>
          <w:ilvl w:val="0"/>
          <w:numId w:val="2"/>
        </w:numPr>
        <w:spacing w:after="60" w:line="300"/>
      </w:pPr>
      <w:r>
        <w:rPr>
          <w:rFonts w:ascii="Malgun Gothic" w:cs="Malgun Gothic" w:eastAsia="Malgun Gothic" w:hAnsi="Malgun Gothic"/>
          <w:sz w:val="20"/>
          <w:szCs w:val="20"/>
        </w:rPr>
        <w:t xml:space="preserve">조직 구성원의 개인정보 중 조직 관리자가 통제하는 부분(조직 내 채팅·자료·세션 — 특히 엔터프라이즈 관리 계정)은 조직이 개인정보처리자이고 회사는 처리 위탁을 받은 수탁자의 지위에서 처리하므로, 해당 정보에 대한 권리 행사는 소속 조직에 하고 회사는 조직의 지시에 따라 협력합니다. 다만 개인 AI 대화와 비밀 세션은 관리자가 열람하지 않습니다(엔터프라이즈 감사 옵션 제외).</w:t>
      </w:r>
    </w:p>
    <w:p>
      <w:pPr>
        <w:pStyle w:val="Heading2"/>
        <w:spacing w:after="120" w:before="240"/>
      </w:pPr>
      <w:r>
        <w:rPr>
          <w:rFonts w:ascii="Malgun Gothic" w:cs="Malgun Gothic" w:eastAsia="Malgun Gothic" w:hAnsi="Malgun Gothic"/>
          <w:b/>
          <w:bCs/>
          <w:color w:val="1F1F1F"/>
          <w:sz w:val="24"/>
          <w:szCs w:val="24"/>
        </w:rPr>
        <w:t xml:space="preserve">8. 안전성 확보 조치</w:t>
      </w:r>
    </w:p>
    <w:p>
      <w:pPr>
        <w:pStyle w:val="ListParagraph"/>
        <w:numPr>
          <w:ilvl w:val="0"/>
          <w:numId w:val="2"/>
        </w:numPr>
        <w:spacing w:after="60" w:line="300"/>
      </w:pPr>
      <w:r>
        <w:rPr>
          <w:rFonts w:ascii="Malgun Gothic" w:cs="Malgun Gothic" w:eastAsia="Malgun Gothic" w:hAnsi="Malgun Gothic"/>
          <w:sz w:val="20"/>
          <w:szCs w:val="20"/>
        </w:rPr>
        <w:t xml:space="preserve">관리적 조치: 개인정보 취급자 최소화·교육, 내부 관리계획 수립, 접근 권한 분리(감사 담당자 지정 등), 수탁자 관리·감독.</w:t>
      </w:r>
    </w:p>
    <w:p>
      <w:pPr>
        <w:pStyle w:val="ListParagraph"/>
        <w:numPr>
          <w:ilvl w:val="0"/>
          <w:numId w:val="2"/>
        </w:numPr>
        <w:spacing w:after="60" w:line="300"/>
      </w:pPr>
      <w:r>
        <w:rPr>
          <w:rFonts w:ascii="Malgun Gothic" w:cs="Malgun Gothic" w:eastAsia="Malgun Gothic" w:hAnsi="Malgun Gothic"/>
          <w:sz w:val="20"/>
          <w:szCs w:val="20"/>
        </w:rPr>
        <w:t xml:space="preserve">기술적 조치: 전송 구간 암호화(TLS), 비밀번호·본인확인 정보·정산 계좌·위치정보·툴 연결 인증 정보·회의 녹음의 암호화 저장, 접근 통제(비밀 세션의 비밀번호·초대, 툴 공개 범위에 따른 통제 포함)와 접속 기록 보관·위변조 방지(1년 이상), 보안 프로그램 설치·갱신, 조직 간 데이터 경계(테넌트 분리).</w:t>
      </w:r>
    </w:p>
    <w:p>
      <w:pPr>
        <w:pStyle w:val="ListParagraph"/>
        <w:numPr>
          <w:ilvl w:val="0"/>
          <w:numId w:val="2"/>
        </w:numPr>
        <w:spacing w:after="60" w:line="300"/>
      </w:pPr>
      <w:r>
        <w:rPr>
          <w:rFonts w:ascii="Malgun Gothic" w:cs="Malgun Gothic" w:eastAsia="Malgun Gothic" w:hAnsi="Malgun Gothic"/>
          <w:sz w:val="20"/>
          <w:szCs w:val="20"/>
        </w:rPr>
        <w:t xml:space="preserve">물리적 조치: 클라우드 사업자의 물리 보안 인증(ISMS·ISO 27001 등)에 의존하며 회사 사무실의 출력물·매체는 잠금 보관합니다.</w:t>
      </w:r>
    </w:p>
    <w:p>
      <w:pPr>
        <w:pStyle w:val="Heading2"/>
        <w:spacing w:after="120" w:before="240"/>
      </w:pPr>
      <w:r>
        <w:rPr>
          <w:rFonts w:ascii="Malgun Gothic" w:cs="Malgun Gothic" w:eastAsia="Malgun Gothic" w:hAnsi="Malgun Gothic"/>
          <w:b/>
          <w:bCs/>
          <w:color w:val="1F1F1F"/>
          <w:sz w:val="24"/>
          <w:szCs w:val="24"/>
        </w:rPr>
        <w:t xml:space="preserve">9. 자동 수집 장치 · 행태정보</w:t>
      </w:r>
    </w:p>
    <w:p>
      <w:pPr>
        <w:pStyle w:val="ListParagraph"/>
        <w:numPr>
          <w:ilvl w:val="0"/>
          <w:numId w:val="2"/>
        </w:numPr>
        <w:spacing w:after="60" w:line="300"/>
      </w:pPr>
      <w:r>
        <w:rPr>
          <w:rFonts w:ascii="Malgun Gothic" w:cs="Malgun Gothic" w:eastAsia="Malgun Gothic" w:hAnsi="Malgun Gothic"/>
          <w:sz w:val="20"/>
          <w:szCs w:val="20"/>
        </w:rPr>
        <w:t xml:space="preserve">회사는 로그인 유지·설정 저장·보안을 위해 쿠키와 유사 기술을 사용합니다. 이용자는 브라우저 설정으로 쿠키를 거부할 수 있으며 이 경우 일부 기능이 제한될 수 있습니다. 서비스 화면에서는 맞춤형 광고용 행태정보를 수집하지 않으며, 서비스 내 광고는 조직 홈 등 지면 단위로 게재되고 개인 프로파일링을 하지 않습니다. 홈페이지(synerzy.ai)에서는 방문 분석·광고 성과 측정을 위해 Google Analytics·Meta Pixel로 방문 기록·쿠키·광고 식별자를 수집해 해당 사업자(해외)에 전송하며, 분석·광고 쿠키는 쿠키 배너에서 동의한 경우에만 작동하고 홈페이지 하단의 [개인정보 선택](쿠키 설정)에서 언제든 철회할 수 있습니다.</w:t>
      </w:r>
    </w:p>
    <w:p>
      <w:pPr>
        <w:pStyle w:val="Heading2"/>
        <w:spacing w:after="120" w:before="240"/>
      </w:pPr>
      <w:r>
        <w:rPr>
          <w:rFonts w:ascii="Malgun Gothic" w:cs="Malgun Gothic" w:eastAsia="Malgun Gothic" w:hAnsi="Malgun Gothic"/>
          <w:b/>
          <w:bCs/>
          <w:color w:val="1F1F1F"/>
          <w:sz w:val="24"/>
          <w:szCs w:val="24"/>
        </w:rPr>
        <w:t xml:space="preserve">10. 개인정보 보호책임자 · 권익 침해 구제</w:t>
      </w:r>
    </w:p>
    <w:p>
      <w:pPr>
        <w:pStyle w:val="ListParagraph"/>
        <w:numPr>
          <w:ilvl w:val="0"/>
          <w:numId w:val="2"/>
        </w:numPr>
        <w:spacing w:after="60" w:line="300"/>
      </w:pPr>
      <w:r>
        <w:rPr>
          <w:rFonts w:ascii="Malgun Gothic" w:cs="Malgun Gothic" w:eastAsia="Malgun Gothic" w:hAnsi="Malgun Gothic"/>
          <w:sz w:val="20"/>
          <w:szCs w:val="20"/>
        </w:rPr>
        <w:t xml:space="preserve">개인정보 보호책임자: 김선후 · 팀장 · synerzy@synerzy.ai · 070-7730-7176 (위치정보 관리책임자 겸임). 개인정보 관련 문의·불만·피해 구제는 VOC 에이전트 또는 위 연락처로 접수하며 회사는 지체 없이 답변합니다.</w:t>
      </w:r>
    </w:p>
    <w:p>
      <w:pPr>
        <w:pStyle w:val="ListParagraph"/>
        <w:numPr>
          <w:ilvl w:val="0"/>
          <w:numId w:val="2"/>
        </w:numPr>
        <w:spacing w:after="60" w:line="300"/>
      </w:pPr>
      <w:r>
        <w:rPr>
          <w:rFonts w:ascii="Malgun Gothic" w:cs="Malgun Gothic" w:eastAsia="Malgun Gothic" w:hAnsi="Malgun Gothic"/>
          <w:sz w:val="20"/>
          <w:szCs w:val="20"/>
        </w:rPr>
        <w:t xml:space="preserve">그 밖의 구제: 개인정보분쟁조정위원회(1833-6972, kopico.go.kr), 개인정보침해신고센터(118, privacy.kisa.or.kr), 대검찰청 사이버수사과(1301), 경찰청 사이버수사국(182).</w:t>
      </w:r>
    </w:p>
    <w:p>
      <w:pPr>
        <w:pStyle w:val="Heading2"/>
        <w:spacing w:after="120" w:before="240"/>
      </w:pPr>
      <w:r>
        <w:rPr>
          <w:rFonts w:ascii="Malgun Gothic" w:cs="Malgun Gothic" w:eastAsia="Malgun Gothic" w:hAnsi="Malgun Gothic"/>
          <w:b/>
          <w:bCs/>
          <w:color w:val="1F1F1F"/>
          <w:sz w:val="24"/>
          <w:szCs w:val="24"/>
        </w:rPr>
        <w:t xml:space="preserve">11. 방침의 변경</w:t>
      </w:r>
    </w:p>
    <w:p>
      <w:pPr>
        <w:pStyle w:val="ListParagraph"/>
        <w:numPr>
          <w:ilvl w:val="0"/>
          <w:numId w:val="2"/>
        </w:numPr>
        <w:spacing w:after="60" w:line="300"/>
      </w:pPr>
      <w:r>
        <w:rPr>
          <w:rFonts w:ascii="Malgun Gothic" w:cs="Malgun Gothic" w:eastAsia="Malgun Gothic" w:hAnsi="Malgun Gothic"/>
          <w:sz w:val="20"/>
          <w:szCs w:val="20"/>
        </w:rPr>
        <w:t xml:space="preserve">이 방침의 변경은 시행 7일 전(이용자 권리에 중요한 변경은 30일 전) 서비스 내 공지·이메일로 고지하며, 이전 버전은 시행일과 함께 보관·열람할 수 있게 합니다.</w:t>
      </w:r>
    </w:p>
    <w:p>
      <w:r>
        <w:br w:type="page"/>
      </w:r>
    </w:p>
    <w:p>
      <w:pPr>
        <w:pStyle w:val="Heading1"/>
        <w:spacing w:after="160" w:before="360"/>
      </w:pPr>
      <w:r>
        <w:rPr>
          <w:rFonts w:ascii="Malgun Gothic" w:cs="Malgun Gothic" w:eastAsia="Malgun Gothic" w:hAnsi="Malgun Gothic"/>
          <w:b/>
          <w:bCs/>
          <w:color w:val="2B2F8F"/>
          <w:sz w:val="30"/>
          <w:szCs w:val="30"/>
        </w:rPr>
        <w:t xml:space="preserve">제2장 위치정보의 처리 (위치기반서비스 이용약관 필수 기재사항)</w:t>
      </w:r>
    </w:p>
    <w:p>
      <w:pPr>
        <w:spacing w:after="120" w:line="320"/>
      </w:pPr>
      <w:r>
        <w:rPr>
          <w:rFonts w:ascii="Malgun Gothic" w:cs="Malgun Gothic" w:eastAsia="Malgun Gothic" w:hAnsi="Malgun Gothic"/>
          <w:sz w:val="20"/>
          <w:szCs w:val="20"/>
        </w:rPr>
        <w:t xml:space="preserve">이 장은 「위치정보의 보호 및 이용 등에 관한 법률」(이하 "위치정보법")에 따라 회사가 GPS 위치정보 툴을 제공·처리하는 조건과, 위치기반 에이전트를 최종 이용자에게 제공하는 조직(이하 "빌더")이 갖추어야 할 사항을 정합니다.</w:t>
      </w:r>
    </w:p>
    <w:p>
      <w:pPr>
        <w:pBdr>
          <w:left w:val="single" w:color="2B2F8F" w:sz="12" w:space="8"/>
        </w:pBdr>
        <w:spacing w:after="120" w:line="300"/>
        <w:ind w:left="240"/>
      </w:pPr>
      <w:r>
        <w:rPr>
          <w:rFonts w:ascii="Malgun Gothic" w:cs="Malgun Gothic" w:eastAsia="Malgun Gothic" w:hAnsi="Malgun Gothic"/>
          <w:b/>
          <w:bCs/>
          <w:color w:val="2B2F8F"/>
          <w:sz w:val="20"/>
          <w:szCs w:val="20"/>
        </w:rPr>
        <w:t xml:space="preserve">※ </w:t>
      </w:r>
      <w:r>
        <w:rPr>
          <w:rFonts w:ascii="Malgun Gothic" w:cs="Malgun Gothic" w:eastAsia="Malgun Gothic" w:hAnsi="Malgun Gothic"/>
          <w:color w:val="5F6368"/>
          <w:sz w:val="18"/>
          <w:szCs w:val="18"/>
        </w:rPr>
        <w:t xml:space="preserve">[법률 검토] 회사는 GPS 좌표를 툴 형태로 제공하고, 빌더가 이를 활용한 출석·출퇴근 관리, 영업 방문·동선 관리, 맛집 지도·장소 추천, 일상 기록·메모리 등 위치기반 에이전트를 제작·배포한다. 회사가 개인위치정보를 수집·저장·처리하는 주체인 한 위치기반서비스사업자(또는 위치정보사업자) 신고·등록 대상이 될 가능성이 있어 전문가 컨설팅을 진행 중이며, 신고가 완료되면 신고번호·일자를 12절에 기재한다. 이 장의 구조는 "회사 = 위치정보를 처리하는 플랫폼 사업자, 빌더 = 자기 최종 이용자에 대한 위치기반서비스 제공자·개인정보처리자"를 전제로 하며, 컨설팅 결과에 따라 조정한다.</w:t>
      </w:r>
    </w:p>
    <w:p>
      <w:pPr>
        <w:pStyle w:val="Heading2"/>
        <w:spacing w:after="120" w:before="240"/>
      </w:pPr>
      <w:r>
        <w:rPr>
          <w:rFonts w:ascii="Malgun Gothic" w:cs="Malgun Gothic" w:eastAsia="Malgun Gothic" w:hAnsi="Malgun Gothic"/>
          <w:b/>
          <w:bCs/>
          <w:color w:val="1F1F1F"/>
          <w:sz w:val="24"/>
          <w:szCs w:val="24"/>
        </w:rPr>
        <w:t xml:space="preserve">1. 위치기반서비스의 내용</w:t>
      </w:r>
    </w:p>
    <w:p>
      <w:pPr>
        <w:pStyle w:val="ListParagraph"/>
        <w:numPr>
          <w:ilvl w:val="0"/>
          <w:numId w:val="2"/>
        </w:numPr>
        <w:spacing w:after="60" w:line="300"/>
      </w:pPr>
      <w:r>
        <w:rPr>
          <w:rFonts w:ascii="Malgun Gothic" w:cs="Malgun Gothic" w:eastAsia="Malgun Gothic" w:hAnsi="Malgun Gothic"/>
          <w:sz w:val="20"/>
          <w:szCs w:val="20"/>
        </w:rPr>
        <w:t xml:space="preserve">회사는 서비스 내 "GPS 위치정보 툴"을 제공합니다. 툴은 이용자의 기기에서 동의 후 GPS 좌표(위·경도·정확도·시각)를 수집하여 에이전트가 ① 출석·출퇴근 체크, ② 영업 방문 기록·동선 관리, ③ 장소 추천·지도 표시, ④ 일상 기록·메모리 저장 등 빌더가 설계한 기능에 사용할 수 있게 합니다.</w:t>
      </w:r>
    </w:p>
    <w:p>
      <w:pPr>
        <w:pStyle w:val="ListParagraph"/>
        <w:numPr>
          <w:ilvl w:val="0"/>
          <w:numId w:val="2"/>
        </w:numPr>
        <w:spacing w:after="60" w:line="300"/>
      </w:pPr>
      <w:r>
        <w:rPr>
          <w:rFonts w:ascii="Malgun Gothic" w:cs="Malgun Gothic" w:eastAsia="Malgun Gothic" w:hAnsi="Malgun Gothic"/>
          <w:sz w:val="20"/>
          <w:szCs w:val="20"/>
        </w:rPr>
        <w:t xml:space="preserve">위치정보 툴의 이용 요금은 별도로 없으며, 툴 호출에 따른 에이전트 답변은 요금표의 문 차감을 따릅니다. 툴은 조직 관리자가 조직 단위로 켜고 끌 수 있으며, 이용자는 기기 설정과 서비스 내 설정에서 언제든 위치정보 수집을 중단할 수 있습니다.</w:t>
      </w:r>
    </w:p>
    <w:p>
      <w:pPr>
        <w:pStyle w:val="Heading2"/>
        <w:spacing w:after="120" w:before="240"/>
      </w:pPr>
      <w:r>
        <w:rPr>
          <w:rFonts w:ascii="Malgun Gothic" w:cs="Malgun Gothic" w:eastAsia="Malgun Gothic" w:hAnsi="Malgun Gothic"/>
          <w:b/>
          <w:bCs/>
          <w:color w:val="1F1F1F"/>
          <w:sz w:val="24"/>
          <w:szCs w:val="24"/>
        </w:rPr>
        <w:t xml:space="preserve">2. 개인위치정보의 수집 · 이용 · 제공 목적</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000"/>
        <w:gridCol w:w="6360"/>
      </w:tblGrid>
      <w:tr>
        <w:trPr>
          <w:tblHeader/>
        </w:trPr>
        <w:tc>
          <w:tcPr>
            <w:tcW w:type="dxa" w:w="3000"/>
            <w:tcBorders>
              <w:top w:val="single" w:color="C7C9D6" w:sz="4"/>
              <w:left w:val="single" w:color="C7C9D6" w:sz="4"/>
              <w:bottom w:val="single" w:color="C7C9D6" w:sz="4"/>
              <w:right w:val="single" w:color="C7C9D6" w:sz="4"/>
            </w:tcBorders>
            <w:shd w:fill="2B2F8F" w:color="auto" w:val="clear"/>
            <w:tcMar>
              <w:top w:type="dxa" w:w="80"/>
              <w:left w:type="dxa" w:w="120"/>
              <w:bottom w:type="dxa" w:w="80"/>
              <w:right w:type="dxa" w:w="120"/>
            </w:tcMar>
          </w:tcPr>
          <w:p>
            <w:pPr>
              <w:spacing w:after="0" w:line="280"/>
            </w:pPr>
            <w:r>
              <w:rPr>
                <w:rFonts w:ascii="Malgun Gothic" w:cs="Malgun Gothic" w:eastAsia="Malgun Gothic" w:hAnsi="Malgun Gothic"/>
                <w:b/>
                <w:bCs/>
                <w:color w:val="FFFFFF"/>
                <w:sz w:val="18"/>
                <w:szCs w:val="18"/>
              </w:rPr>
              <w:t xml:space="preserve">용도</w:t>
            </w:r>
          </w:p>
        </w:tc>
        <w:tc>
          <w:tcPr>
            <w:tcW w:type="dxa" w:w="6360"/>
            <w:tcBorders>
              <w:top w:val="single" w:color="C7C9D6" w:sz="4"/>
              <w:left w:val="single" w:color="C7C9D6" w:sz="4"/>
              <w:bottom w:val="single" w:color="C7C9D6" w:sz="4"/>
              <w:right w:val="single" w:color="C7C9D6" w:sz="4"/>
            </w:tcBorders>
            <w:shd w:fill="2B2F8F" w:color="auto" w:val="clear"/>
            <w:tcMar>
              <w:top w:type="dxa" w:w="80"/>
              <w:left w:type="dxa" w:w="120"/>
              <w:bottom w:type="dxa" w:w="80"/>
              <w:right w:type="dxa" w:w="120"/>
            </w:tcMar>
          </w:tcPr>
          <w:p>
            <w:pPr>
              <w:spacing w:after="0" w:line="280"/>
            </w:pPr>
            <w:r>
              <w:rPr>
                <w:rFonts w:ascii="Malgun Gothic" w:cs="Malgun Gothic" w:eastAsia="Malgun Gothic" w:hAnsi="Malgun Gothic"/>
                <w:b/>
                <w:bCs/>
                <w:color w:val="FFFFFF"/>
                <w:sz w:val="18"/>
                <w:szCs w:val="18"/>
              </w:rPr>
              <w:t xml:space="preserve">수집·이용 목적 · 정보 형태</w:t>
            </w:r>
          </w:p>
        </w:tc>
      </w:tr>
      <w:tr>
        <w:trPr>
          <w:tblHeader w:val="false"/>
        </w:trPr>
        <w:tc>
          <w:tcPr>
            <w:tcW w:type="dxa" w:w="30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출석·출퇴근 관리</w:t>
            </w:r>
          </w:p>
        </w:tc>
        <w:tc>
          <w:tcPr>
            <w:tcW w:type="dxa" w:w="636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지정된 장소·시간에 이용자 본인의 위치가 있는지 확인. 좌표는 판정 즉시 "장소 일치 여부·시각"으로 변환하여 기록하고 원좌표는 [24시간] 내 파기</w:t>
            </w:r>
          </w:p>
        </w:tc>
      </w:tr>
      <w:tr>
        <w:trPr>
          <w:tblHeader w:val="false"/>
        </w:trPr>
        <w:tc>
          <w:tcPr>
            <w:tcW w:type="dxa" w:w="30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영업 방문·동선 관리</w:t>
            </w:r>
          </w:p>
        </w:tc>
        <w:tc>
          <w:tcPr>
            <w:tcW w:type="dxa" w:w="636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방문 기록 생성, 이동 경로 표시. 좌표를 방문지·시각 단위로 기록하며 연속 추적(백그라운드 수집)은 이용자가 별도로 켠 경우에만</w:t>
            </w:r>
          </w:p>
        </w:tc>
      </w:tr>
      <w:tr>
        <w:trPr>
          <w:tblHeader w:val="false"/>
        </w:trPr>
        <w:tc>
          <w:tcPr>
            <w:tcW w:type="dxa" w:w="30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장소 추천·지도</w:t>
            </w:r>
          </w:p>
        </w:tc>
        <w:tc>
          <w:tcPr>
            <w:tcW w:type="dxa" w:w="636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현재 위치 기준 주변 장소 검색·표시. 좌표는 일회성으로 사용하고 저장하지 않음(이용자가 저장을 선택한 장소만 보관)</w:t>
            </w:r>
          </w:p>
        </w:tc>
      </w:tr>
      <w:tr>
        <w:trPr>
          <w:tblHeader w:val="false"/>
        </w:trPr>
        <w:tc>
          <w:tcPr>
            <w:tcW w:type="dxa" w:w="30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일상 기록·메모리</w:t>
            </w:r>
          </w:p>
        </w:tc>
        <w:tc>
          <w:tcPr>
            <w:tcW w:type="dxa" w:w="636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이용자 본인의 기록에 위치 태그 부가. 이용자가 삭제하면 즉시 파기</w:t>
            </w:r>
          </w:p>
        </w:tc>
      </w:tr>
    </w:tbl>
    <w:p>
      <w:pPr>
        <w:pStyle w:val="ListParagraph"/>
        <w:numPr>
          <w:ilvl w:val="0"/>
          <w:numId w:val="2"/>
        </w:numPr>
        <w:spacing w:after="60" w:line="300"/>
      </w:pPr>
      <w:r>
        <w:rPr>
          <w:rFonts w:ascii="Malgun Gothic" w:cs="Malgun Gothic" w:eastAsia="Malgun Gothic" w:hAnsi="Malgun Gothic"/>
          <w:sz w:val="20"/>
          <w:szCs w:val="20"/>
        </w:rPr>
        <w:t xml:space="preserve">회사와 빌더는 위 목적 외로 개인위치정보를 이용하지 않으며, 광고·프로파일링·제3자 판매에 사용하지 않습니다.</w:t>
      </w:r>
    </w:p>
    <w:p>
      <w:pPr>
        <w:pStyle w:val="Heading2"/>
        <w:spacing w:after="120" w:before="240"/>
      </w:pPr>
      <w:r>
        <w:rPr>
          <w:rFonts w:ascii="Malgun Gothic" w:cs="Malgun Gothic" w:eastAsia="Malgun Gothic" w:hAnsi="Malgun Gothic"/>
          <w:b/>
          <w:bCs/>
          <w:color w:val="1F1F1F"/>
          <w:sz w:val="24"/>
          <w:szCs w:val="24"/>
        </w:rPr>
        <w:t xml:space="preserve">3. 동의</w:t>
      </w:r>
    </w:p>
    <w:p>
      <w:pPr>
        <w:pStyle w:val="ListParagraph"/>
        <w:numPr>
          <w:ilvl w:val="0"/>
          <w:numId w:val="2"/>
        </w:numPr>
        <w:spacing w:after="60" w:line="300"/>
      </w:pPr>
      <w:r>
        <w:rPr>
          <w:rFonts w:ascii="Malgun Gothic" w:cs="Malgun Gothic" w:eastAsia="Malgun Gothic" w:hAnsi="Malgun Gothic"/>
          <w:sz w:val="20"/>
          <w:szCs w:val="20"/>
        </w:rPr>
        <w:t xml:space="preserve">개인위치정보의 수집·이용·제공은 개인위치정보주체(최종 이용자)의 사전 동의를 받아야 합니다. 동의는 기기 OS의 위치 권한 허용과 별도로, 서비스 내 위치정보 이용약관 동의 화면에서 목적·항목·보유 기간·제3자 제공 여부를 확인하고 받습니다. 백그라운드(앱 미사용 중) 수집은 별도 동의 항목으로 분리합니다.</w:t>
      </w:r>
    </w:p>
    <w:p>
      <w:pPr>
        <w:pStyle w:val="ListParagraph"/>
        <w:numPr>
          <w:ilvl w:val="0"/>
          <w:numId w:val="2"/>
        </w:numPr>
        <w:spacing w:after="60" w:line="300"/>
      </w:pPr>
      <w:r>
        <w:rPr>
          <w:rFonts w:ascii="Malgun Gothic" w:cs="Malgun Gothic" w:eastAsia="Malgun Gothic" w:hAnsi="Malgun Gothic"/>
          <w:sz w:val="20"/>
          <w:szCs w:val="20"/>
        </w:rPr>
        <w:t xml:space="preserve">빌더가 자기 조직 구성원 또는 외부 최종 이용자에게 위치기반 에이전트를 제공하는 경우, 그 최종 이용자로부터 동의를 받고 필수 사항을 고지할 의무는 빌더에게 있습니다. 회사는 빌더가 사용할 수 있는 동의 화면 템플릿과 이 장의 내용을 제공합니다. 출퇴근·영업 관리처럼 근로자를 대상으로 하는 경우 빌더(사용자)는 근로자에게 수집 목적·범위·시간을 명확히 고지하고 동의를 받아야 하며, 업무 시간 외 수집은 하지 않아야 합니다. [법률 검토 — 근로자 위치정보 수집의 동의 방식]</w:t>
      </w:r>
    </w:p>
    <w:p>
      <w:pPr>
        <w:pStyle w:val="ListParagraph"/>
        <w:numPr>
          <w:ilvl w:val="0"/>
          <w:numId w:val="2"/>
        </w:numPr>
        <w:spacing w:after="60" w:line="300"/>
      </w:pPr>
      <w:r>
        <w:rPr>
          <w:rFonts w:ascii="Malgun Gothic" w:cs="Malgun Gothic" w:eastAsia="Malgun Gothic" w:hAnsi="Malgun Gothic"/>
          <w:sz w:val="20"/>
          <w:szCs w:val="20"/>
        </w:rPr>
        <w:t xml:space="preserve">8세 이하 아동, 피성년후견인, 중증 장애인의 보호의무자는 본인 동의 없이 위치정보의 수집·이용에 동의할 수 있으며(위치정보법 §26), 이 경우 보호의무자임을 증명하는 서류를 제출해야 합니다. 회사 서비스는 만 14세 미만 가입을 받지 않으므로 이 조항은 빌더가 제공하는 최종 이용자 서비스에 해당합니다.</w:t>
      </w:r>
    </w:p>
    <w:p>
      <w:pPr>
        <w:pStyle w:val="Heading2"/>
        <w:spacing w:after="120" w:before="240"/>
      </w:pPr>
      <w:r>
        <w:rPr>
          <w:rFonts w:ascii="Malgun Gothic" w:cs="Malgun Gothic" w:eastAsia="Malgun Gothic" w:hAnsi="Malgun Gothic"/>
          <w:b/>
          <w:bCs/>
          <w:color w:val="1F1F1F"/>
          <w:sz w:val="24"/>
          <w:szCs w:val="24"/>
        </w:rPr>
        <w:t xml:space="preserve">4. 보유 · 이용 기간 및 파기</w:t>
      </w:r>
    </w:p>
    <w:p>
      <w:pPr>
        <w:pStyle w:val="ListParagraph"/>
        <w:numPr>
          <w:ilvl w:val="0"/>
          <w:numId w:val="2"/>
        </w:numPr>
        <w:spacing w:after="60" w:line="300"/>
      </w:pPr>
      <w:r>
        <w:rPr>
          <w:rFonts w:ascii="Malgun Gothic" w:cs="Malgun Gothic" w:eastAsia="Malgun Gothic" w:hAnsi="Malgun Gothic"/>
          <w:sz w:val="20"/>
          <w:szCs w:val="20"/>
        </w:rPr>
        <w:t xml:space="preserve">개인위치정보는 2절의 용도별 기간 동안만 보유하며, 목적 달성 즉시 또는 이용자의 삭제 요청·동의 철회 시 지체 없이 파기합니다. 빌더가 조직 데이터로 보관하는 위치 기록(출퇴근 기록·방문 기록)은 조직의 보존 정책에 따르되 이용약관 8조의 계약 종료 후 30일 파기 규정이 적용됩니다.</w:t>
      </w:r>
    </w:p>
    <w:p>
      <w:pPr>
        <w:pStyle w:val="ListParagraph"/>
        <w:numPr>
          <w:ilvl w:val="0"/>
          <w:numId w:val="2"/>
        </w:numPr>
        <w:spacing w:after="60" w:line="300"/>
      </w:pPr>
      <w:r>
        <w:rPr>
          <w:rFonts w:ascii="Malgun Gothic" w:cs="Malgun Gothic" w:eastAsia="Malgun Gothic" w:hAnsi="Malgun Gothic"/>
          <w:b/>
          <w:bCs/>
          <w:sz w:val="20"/>
          <w:szCs w:val="20"/>
        </w:rPr>
        <w:t xml:space="preserve">위치정보 수집·이용·제공사실 확인자료: </w:t>
      </w:r>
      <w:r>
        <w:rPr>
          <w:rFonts w:ascii="Malgun Gothic" w:cs="Malgun Gothic" w:eastAsia="Malgun Gothic" w:hAnsi="Malgun Gothic"/>
          <w:sz w:val="20"/>
          <w:szCs w:val="20"/>
        </w:rPr>
        <w:t xml:space="preserve">회사는 위치정보법 제16조 제2항에 따라 개인위치정보의 수집·이용·제공 사실을 확인할 수 있는 자료(수집 시각, 이용·제공 목적, 제공받은 자)를 위치정보시스템에 자동으로 기록·보존하며, 보존 기간은 </w:t>
      </w:r>
      <w:r>
        <w:rPr>
          <w:rFonts w:ascii="Malgun Gothic" w:cs="Malgun Gothic" w:eastAsia="Malgun Gothic" w:hAnsi="Malgun Gothic"/>
          <w:b/>
          <w:bCs/>
          <w:sz w:val="20"/>
          <w:szCs w:val="20"/>
        </w:rPr>
        <w:t xml:space="preserve">[6개월]</w:t>
      </w:r>
      <w:r>
        <w:rPr>
          <w:rFonts w:ascii="Malgun Gothic" w:cs="Malgun Gothic" w:eastAsia="Malgun Gothic" w:hAnsi="Malgun Gothic"/>
          <w:sz w:val="20"/>
          <w:szCs w:val="20"/>
        </w:rPr>
        <w:t xml:space="preserve">입니다. 이 확인자료는 개인위치정보 자체가 아니라 처리 이력이며, 개인위치정보주체의 열람 요구에 응하기 위해 보존합니다.</w:t>
      </w:r>
    </w:p>
    <w:p>
      <w:pPr>
        <w:pStyle w:val="Heading2"/>
        <w:spacing w:after="120" w:before="240"/>
      </w:pPr>
      <w:r>
        <w:rPr>
          <w:rFonts w:ascii="Malgun Gothic" w:cs="Malgun Gothic" w:eastAsia="Malgun Gothic" w:hAnsi="Malgun Gothic"/>
          <w:b/>
          <w:bCs/>
          <w:color w:val="1F1F1F"/>
          <w:sz w:val="24"/>
          <w:szCs w:val="24"/>
        </w:rPr>
        <w:t xml:space="preserve">5. 제3자 제공 및 통보</w:t>
      </w:r>
    </w:p>
    <w:p>
      <w:pPr>
        <w:pStyle w:val="ListParagraph"/>
        <w:numPr>
          <w:ilvl w:val="0"/>
          <w:numId w:val="2"/>
        </w:numPr>
        <w:spacing w:after="60" w:line="300"/>
      </w:pPr>
      <w:r>
        <w:rPr>
          <w:rFonts w:ascii="Malgun Gothic" w:cs="Malgun Gothic" w:eastAsia="Malgun Gothic" w:hAnsi="Malgun Gothic"/>
          <w:sz w:val="20"/>
          <w:szCs w:val="20"/>
        </w:rPr>
        <w:t xml:space="preserve">회사와 빌더는 개인위치정보주체의 동의 없이 개인위치정보를 제3자에게 제공하지 않습니다. 동의를 받아 제공하는 경우(예: 조직 관리자에게 출퇴근 기록 표시, 지도 API 제공사에 좌표 전송)에는 제공받는 자, 제공 목적, 제공 항목을 사전에 고지합니다.</w:t>
      </w:r>
    </w:p>
    <w:p>
      <w:pPr>
        <w:pStyle w:val="ListParagraph"/>
        <w:numPr>
          <w:ilvl w:val="0"/>
          <w:numId w:val="2"/>
        </w:numPr>
        <w:spacing w:after="60" w:line="300"/>
      </w:pPr>
      <w:r>
        <w:rPr>
          <w:rFonts w:ascii="Malgun Gothic" w:cs="Malgun Gothic" w:eastAsia="Malgun Gothic" w:hAnsi="Malgun Gothic"/>
          <w:sz w:val="20"/>
          <w:szCs w:val="20"/>
        </w:rPr>
        <w:t xml:space="preserve">개인위치정보를 제3자에게 제공하는 경우 매회 개인위치정보주체에게 제공받는 자·제공 일시·제공 목적을 즉시 통보합니다(위치정보법 §19③). 다만 개인위치정보주체가 요청하는 경우 통보를 [30일] 단위로 모아서 하거나, 기기 알림·서비스 내 기록으로 갈음할 수 있습니다.</w:t>
      </w:r>
    </w:p>
    <w:p>
      <w:pPr>
        <w:pStyle w:val="ListParagraph"/>
        <w:numPr>
          <w:ilvl w:val="0"/>
          <w:numId w:val="2"/>
        </w:numPr>
        <w:spacing w:after="60" w:line="300"/>
      </w:pPr>
      <w:r>
        <w:rPr>
          <w:rFonts w:ascii="Malgun Gothic" w:cs="Malgun Gothic" w:eastAsia="Malgun Gothic" w:hAnsi="Malgun Gothic"/>
          <w:sz w:val="20"/>
          <w:szCs w:val="20"/>
        </w:rPr>
        <w:t xml:space="preserve">법령에 근거가 있거나 수사기관·법원의 적법한 요청이 있는 경우는 동의 없이 제공할 수 있으며, 회사는 그 내역을 기록합니다.</w:t>
      </w:r>
    </w:p>
    <w:p>
      <w:pPr>
        <w:pStyle w:val="Heading2"/>
        <w:spacing w:after="120" w:before="240"/>
      </w:pPr>
      <w:r>
        <w:rPr>
          <w:rFonts w:ascii="Malgun Gothic" w:cs="Malgun Gothic" w:eastAsia="Malgun Gothic" w:hAnsi="Malgun Gothic"/>
          <w:b/>
          <w:bCs/>
          <w:color w:val="1F1F1F"/>
          <w:sz w:val="24"/>
          <w:szCs w:val="24"/>
        </w:rPr>
        <w:t xml:space="preserve">6. 개인위치정보주체의 권리</w:t>
      </w:r>
    </w:p>
    <w:p>
      <w:pPr>
        <w:pStyle w:val="ListParagraph"/>
        <w:numPr>
          <w:ilvl w:val="0"/>
          <w:numId w:val="2"/>
        </w:numPr>
        <w:spacing w:after="60" w:line="300"/>
      </w:pPr>
      <w:r>
        <w:rPr>
          <w:rFonts w:ascii="Malgun Gothic" w:cs="Malgun Gothic" w:eastAsia="Malgun Gothic" w:hAnsi="Malgun Gothic"/>
          <w:sz w:val="20"/>
          <w:szCs w:val="20"/>
        </w:rPr>
        <w:t xml:space="preserve">개인위치정보주체는 언제든지 ① 수집·이용·제공 동의의 전부 또는 일부 철회, ② 수집·이용·제공의 일시 중지 요구, ③ 위치정보 수집·이용·제공사실 확인자료 및 제3자 제공 이유·내용의 열람·고지 요구, ④ 오류 정정 요구를 할 수 있습니다. 회사와 빌더는 정당한 사유 없이 이를 거절할 수 없습니다.</w:t>
      </w:r>
    </w:p>
    <w:p>
      <w:pPr>
        <w:pStyle w:val="ListParagraph"/>
        <w:numPr>
          <w:ilvl w:val="0"/>
          <w:numId w:val="2"/>
        </w:numPr>
        <w:spacing w:after="60" w:line="300"/>
      </w:pPr>
      <w:r>
        <w:rPr>
          <w:rFonts w:ascii="Malgun Gothic" w:cs="Malgun Gothic" w:eastAsia="Malgun Gothic" w:hAnsi="Malgun Gothic"/>
          <w:sz w:val="20"/>
          <w:szCs w:val="20"/>
        </w:rPr>
        <w:t xml:space="preserve">동의를 철회하면 회사와 빌더는 해당 개인위치정보와 확인자료(법령상 보존 의무분 제외)를 지체 없이 파기합니다. 권리 행사는 서비스 내 [설정 › 개인정보 › 위치정보], VOC 에이전트, 또는 위치정보 관리책임자 연락처로 할 수 있습니다.</w:t>
      </w:r>
    </w:p>
    <w:p>
      <w:pPr>
        <w:pStyle w:val="Heading2"/>
        <w:spacing w:after="120" w:before="240"/>
      </w:pPr>
      <w:r>
        <w:rPr>
          <w:rFonts w:ascii="Malgun Gothic" w:cs="Malgun Gothic" w:eastAsia="Malgun Gothic" w:hAnsi="Malgun Gothic"/>
          <w:b/>
          <w:bCs/>
          <w:color w:val="1F1F1F"/>
          <w:sz w:val="24"/>
          <w:szCs w:val="24"/>
        </w:rPr>
        <w:t xml:space="preserve">7. 위치정보 관리책임자</w:t>
      </w:r>
    </w:p>
    <w:p>
      <w:pPr>
        <w:pStyle w:val="ListParagraph"/>
        <w:numPr>
          <w:ilvl w:val="0"/>
          <w:numId w:val="2"/>
        </w:numPr>
        <w:spacing w:after="60" w:line="300"/>
      </w:pPr>
      <w:r>
        <w:rPr>
          <w:rFonts w:ascii="Malgun Gothic" w:cs="Malgun Gothic" w:eastAsia="Malgun Gothic" w:hAnsi="Malgun Gothic"/>
          <w:sz w:val="20"/>
          <w:szCs w:val="20"/>
        </w:rPr>
        <w:t xml:space="preserve">회사는 위치정보 관리책임자를 지정합니다: 김선후 · 팀장 · synerzy@synerzy.ai · 070-7730-7176 (개인정보 보호책임자 겸임). 관리책임자는 위치정보의 보호조치 이행, 이용자 권리 행사 처리, 관련 민원·분쟁을 담당합니다.</w:t>
      </w:r>
    </w:p>
    <w:p>
      <w:pPr>
        <w:pStyle w:val="Heading2"/>
        <w:spacing w:after="120" w:before="240"/>
      </w:pPr>
      <w:r>
        <w:rPr>
          <w:rFonts w:ascii="Malgun Gothic" w:cs="Malgun Gothic" w:eastAsia="Malgun Gothic" w:hAnsi="Malgun Gothic"/>
          <w:b/>
          <w:bCs/>
          <w:color w:val="1F1F1F"/>
          <w:sz w:val="24"/>
          <w:szCs w:val="24"/>
        </w:rPr>
        <w:t xml:space="preserve">8. 보호조치</w:t>
      </w:r>
    </w:p>
    <w:p>
      <w:pPr>
        <w:pStyle w:val="ListParagraph"/>
        <w:numPr>
          <w:ilvl w:val="0"/>
          <w:numId w:val="2"/>
        </w:numPr>
        <w:spacing w:after="60" w:line="300"/>
      </w:pPr>
      <w:r>
        <w:rPr>
          <w:rFonts w:ascii="Malgun Gothic" w:cs="Malgun Gothic" w:eastAsia="Malgun Gothic" w:hAnsi="Malgun Gothic"/>
          <w:sz w:val="20"/>
          <w:szCs w:val="20"/>
        </w:rPr>
        <w:t xml:space="preserve">기술적: 위치정보의 전송·저장 암호화, 위치정보시스템에 대한 접근 권한 분리·접근 기록 보존, 방화벽·침입 탐지, 좌표의 용도별 최소화(출석은 일치 여부만 저장, 지도는 미저장).</w:t>
      </w:r>
    </w:p>
    <w:p>
      <w:pPr>
        <w:pStyle w:val="ListParagraph"/>
        <w:numPr>
          <w:ilvl w:val="0"/>
          <w:numId w:val="2"/>
        </w:numPr>
        <w:spacing w:after="60" w:line="300"/>
      </w:pPr>
      <w:r>
        <w:rPr>
          <w:rFonts w:ascii="Malgun Gothic" w:cs="Malgun Gothic" w:eastAsia="Malgun Gothic" w:hAnsi="Malgun Gothic"/>
          <w:sz w:val="20"/>
          <w:szCs w:val="20"/>
        </w:rPr>
        <w:t xml:space="preserve">관리적: 위치정보 취급자 최소 지정·교육, 취급 기록 관리, 빌더에 대한 위탁·이용 조건 계약(툴 이용 시 이 장 준수 동의), 연 1회 자체 점검.</w:t>
      </w:r>
    </w:p>
    <w:p>
      <w:pPr>
        <w:pStyle w:val="ListParagraph"/>
        <w:numPr>
          <w:ilvl w:val="0"/>
          <w:numId w:val="2"/>
        </w:numPr>
        <w:spacing w:after="60" w:line="300"/>
      </w:pPr>
      <w:r>
        <w:rPr>
          <w:rFonts w:ascii="Malgun Gothic" w:cs="Malgun Gothic" w:eastAsia="Malgun Gothic" w:hAnsi="Malgun Gothic"/>
          <w:sz w:val="20"/>
          <w:szCs w:val="20"/>
        </w:rPr>
        <w:t xml:space="preserve">빌더의 의무: 빌더는 툴로 취득한 위치정보를 이 장의 목적·기간을 넘어 이용·제공할 수 없고, 자기 최종 이용자에 대한 동의·고지·권리 보장·보호조치 의무를 이행해야 합니다. 위반 시 이용약관 7조·10조에 따라 툴 이용이 제한되거나 계약이 해지될 수 있습니다.</w:t>
      </w:r>
    </w:p>
    <w:p>
      <w:pPr>
        <w:pStyle w:val="Heading2"/>
        <w:spacing w:after="120" w:before="240"/>
      </w:pPr>
      <w:r>
        <w:rPr>
          <w:rFonts w:ascii="Malgun Gothic" w:cs="Malgun Gothic" w:eastAsia="Malgun Gothic" w:hAnsi="Malgun Gothic"/>
          <w:b/>
          <w:bCs/>
          <w:color w:val="1F1F1F"/>
          <w:sz w:val="24"/>
          <w:szCs w:val="24"/>
        </w:rPr>
        <w:t xml:space="preserve">9. 손해배상 · 분쟁조정</w:t>
      </w:r>
    </w:p>
    <w:p>
      <w:pPr>
        <w:pStyle w:val="ListParagraph"/>
        <w:numPr>
          <w:ilvl w:val="0"/>
          <w:numId w:val="2"/>
        </w:numPr>
        <w:spacing w:after="60" w:line="300"/>
      </w:pPr>
      <w:r>
        <w:rPr>
          <w:rFonts w:ascii="Malgun Gothic" w:cs="Malgun Gothic" w:eastAsia="Malgun Gothic" w:hAnsi="Malgun Gothic"/>
          <w:sz w:val="20"/>
          <w:szCs w:val="20"/>
        </w:rPr>
        <w:t xml:space="preserve">회사 또는 빌더가 위치정보법 제15조~제26조를 위반하여 개인위치정보주체에게 손해를 입힌 경우 그 손해를 배상할 책임이 있으며, 고의·과실이 없음을 입증하지 못하면 책임을 면하지 못합니다(위치정보법 §27). 회사와 빌더 사이의 책임 분담은 이용약관 11조 및 툴 이용 조건에 따르되, 개인위치정보주체에 대한 관계에서는 각자 자기 위반 행위에 대해 책임을 집니다. [법률 검토 — 플랫폼·빌더 책임 범위]</w:t>
      </w:r>
    </w:p>
    <w:p>
      <w:pPr>
        <w:pStyle w:val="ListParagraph"/>
        <w:numPr>
          <w:ilvl w:val="0"/>
          <w:numId w:val="2"/>
        </w:numPr>
        <w:spacing w:after="60" w:line="300"/>
      </w:pPr>
      <w:r>
        <w:rPr>
          <w:rFonts w:ascii="Malgun Gothic" w:cs="Malgun Gothic" w:eastAsia="Malgun Gothic" w:hAnsi="Malgun Gothic"/>
          <w:sz w:val="20"/>
          <w:szCs w:val="20"/>
        </w:rPr>
        <w:t xml:space="preserve">위치정보와 관련한 분쟁은 방송통신위원회에 재정을 신청하거나 개인정보분쟁조정위원회에 조정을 신청할 수 있습니다(위치정보법 §28).</w:t>
      </w:r>
    </w:p>
    <w:p>
      <w:pPr>
        <w:pStyle w:val="Heading2"/>
        <w:spacing w:after="120" w:before="240"/>
      </w:pPr>
      <w:r>
        <w:rPr>
          <w:rFonts w:ascii="Malgun Gothic" w:cs="Malgun Gothic" w:eastAsia="Malgun Gothic" w:hAnsi="Malgun Gothic"/>
          <w:b/>
          <w:bCs/>
          <w:color w:val="1F1F1F"/>
          <w:sz w:val="24"/>
          <w:szCs w:val="24"/>
        </w:rPr>
        <w:t xml:space="preserve">10. 사업자 정보</w:t>
      </w:r>
    </w:p>
    <w:p>
      <w:pPr>
        <w:pStyle w:val="ListParagraph"/>
        <w:numPr>
          <w:ilvl w:val="0"/>
          <w:numId w:val="2"/>
        </w:numPr>
        <w:spacing w:after="60" w:line="300"/>
      </w:pPr>
      <w:r>
        <w:rPr>
          <w:rFonts w:ascii="Malgun Gothic" w:cs="Malgun Gothic" w:eastAsia="Malgun Gothic" w:hAnsi="Malgun Gothic"/>
          <w:sz w:val="20"/>
          <w:szCs w:val="20"/>
        </w:rPr>
        <w:t xml:space="preserve">상호 한솔 · 대표자 정재승 · 주소 전라남도 순천시 해룡면 순광로 214, 3층 · 전화 1811-8559 · synerzy@synerzy.ai · 위치기반서비스사업자 신고번호 [신고 완료 후 기재] [법률 검토 — 신고 의무 해당 여부].</w:t>
      </w:r>
    </w:p>
    <w:p>
      <w:pPr>
        <w:pStyle w:val="Heading2"/>
        <w:spacing w:after="120" w:before="240"/>
      </w:pPr>
      <w:r>
        <w:rPr>
          <w:rFonts w:ascii="Malgun Gothic" w:cs="Malgun Gothic" w:eastAsia="Malgun Gothic" w:hAnsi="Malgun Gothic"/>
          <w:b/>
          <w:bCs/>
          <w:color w:val="1F1F1F"/>
          <w:sz w:val="24"/>
          <w:szCs w:val="24"/>
        </w:rPr>
        <w:t xml:space="preserve">11. 앱 마켓 배포 시 표시</w:t>
      </w:r>
    </w:p>
    <w:p>
      <w:pPr>
        <w:pStyle w:val="ListParagraph"/>
        <w:numPr>
          <w:ilvl w:val="0"/>
          <w:numId w:val="2"/>
        </w:numPr>
        <w:spacing w:after="60" w:line="300"/>
      </w:pPr>
      <w:r>
        <w:rPr>
          <w:rFonts w:ascii="Malgun Gothic" w:cs="Malgun Gothic" w:eastAsia="Malgun Gothic" w:hAnsi="Malgun Gothic"/>
          <w:sz w:val="20"/>
          <w:szCs w:val="20"/>
        </w:rPr>
        <w:t xml:space="preserve">회사 앱(Google Play·App Store)은 위치 권한의 사용 목적을 스토어 데이터 안전 섹션과 앱 내 권한 요청 화면에 표시하고, 백그라운드 위치 권한은 해당 기능을 켠 이용자에게만 요청합니다. 빌더가 자기 앱으로 배포하는 경우 같은 표시를 갖추어야 합니다.</w:t>
      </w:r>
    </w:p>
    <w:p>
      <w:pPr>
        <w:pStyle w:val="Heading2"/>
        <w:spacing w:after="120" w:before="240"/>
      </w:pPr>
      <w:r>
        <w:rPr>
          <w:rFonts w:ascii="Malgun Gothic" w:cs="Malgun Gothic" w:eastAsia="Malgun Gothic" w:hAnsi="Malgun Gothic"/>
          <w:b/>
          <w:bCs/>
          <w:color w:val="1F1F1F"/>
          <w:sz w:val="24"/>
          <w:szCs w:val="24"/>
        </w:rPr>
        <w:t xml:space="preserve">12. 시행일 · 개정 이력</w:t>
      </w:r>
    </w:p>
    <w:p>
      <w:pPr>
        <w:pStyle w:val="ListParagraph"/>
        <w:numPr>
          <w:ilvl w:val="0"/>
          <w:numId w:val="2"/>
        </w:numPr>
        <w:spacing w:after="60" w:line="300"/>
      </w:pPr>
      <w:r>
        <w:rPr>
          <w:rFonts w:ascii="Malgun Gothic" w:cs="Malgun Gothic" w:eastAsia="Malgun Gothic" w:hAnsi="Malgun Gothic"/>
          <w:sz w:val="20"/>
          <w:szCs w:val="20"/>
        </w:rPr>
        <w:t xml:space="preserve">시행일: 2026년 10월 15일 (v0.2 초안). 개정 이력: 2026-09-11 v0.1 최초 제정 — 제1장 개인정보 처리방침, 제2장 위치정보 처리(위치기반서비스 이용약관 필수 기재사항) 통합. 2026-10-15 v0.2 — 개인정보 보호책임자·위치정보 관리책임자 지정, 처리 목적·항목에 도입 문의·무료 체험·마케팅 수신·홈페이지 분석을 추가하고 처리 근거 열 신설, 회의록·툴 연결 정보·초과 사용 항목 추가, 무료 체험 데이터·체험 이력 등 보유 기간 신설, 툴을 통한 외부 서비스 제공(4절 ⑤), 5절을 업무 유형 표로 바꾸고 별표 「수탁사·국외 이전 현황」 신설(변경 시 7일 전 공지), 홈페이지 분석·광고 쿠키(9절). 함께 시행: 이용약관 v0.2 · 취소·환불 정책 v1.7.8 · 요금표 v1.0.8 · 파트너 약관 v0.7.</w:t>
      </w:r>
    </w:p>
    <w:p>
      <w:pPr>
        <w:spacing w:after="120" w:line="320"/>
      </w:pPr>
      <w:r>
        <w:rPr>
          <w:rFonts w:ascii="Malgun Gothic" w:cs="Malgun Gothic" w:eastAsia="Malgun Gothic" w:hAnsi="Malgun Gothic"/>
          <w:sz w:val="20"/>
          <w:szCs w:val="20"/>
        </w:rPr>
        <w:t xml:space="preserve"/>
      </w:r>
    </w:p>
    <w:p>
      <w:pPr>
        <w:pBdr>
          <w:left w:val="single" w:color="2B2F8F" w:sz="12" w:space="8"/>
        </w:pBdr>
        <w:spacing w:after="120" w:line="300"/>
        <w:ind w:left="240"/>
      </w:pPr>
      <w:r>
        <w:rPr>
          <w:rFonts w:ascii="Malgun Gothic" w:cs="Malgun Gothic" w:eastAsia="Malgun Gothic" w:hAnsi="Malgun Gothic"/>
          <w:b/>
          <w:bCs/>
          <w:color w:val="2B2F8F"/>
          <w:sz w:val="20"/>
          <w:szCs w:val="20"/>
        </w:rPr>
        <w:t xml:space="preserve">※ </w:t>
      </w:r>
      <w:r>
        <w:rPr>
          <w:rFonts w:ascii="Malgun Gothic" w:cs="Malgun Gothic" w:eastAsia="Malgun Gothic" w:hAnsi="Malgun Gothic"/>
          <w:color w:val="5F6368"/>
          <w:sz w:val="18"/>
          <w:szCs w:val="18"/>
        </w:rPr>
        <w:t xml:space="preserve">컨설팅 확인 항목: ① 회사의 위치기반서비스사업자 신고(또는 위치정보사업자 등록) 의무 해당 여부와 범위 ② 빌더가 툴로 서비스를 배포할 때 위치정보 수집·이용 책임의 귀속(회사/빌더) ③ 출석·출퇴근, 영업관리, 맛집 지도, 일상 기록 용도별 동의 방식·고지 사항 ④ 플랫폼 차원의 암호화·접근통제·파기 기준 ⑤ 회사·빌더 이용약관의 위치정보 필수 기재사항. 결과에 따라 제2장의 [법률 검토] 문구와 신고번호를 갱신한다.</w:t>
      </w:r>
    </w:p>
    <w:p>
      <w:r>
        <w:br w:type="page"/>
      </w:r>
    </w:p>
    <w:p>
      <w:pPr>
        <w:pStyle w:val="Heading1"/>
        <w:spacing w:after="160" w:before="360"/>
      </w:pPr>
      <w:r>
        <w:rPr>
          <w:rFonts w:ascii="Malgun Gothic" w:cs="Malgun Gothic" w:eastAsia="Malgun Gothic" w:hAnsi="Malgun Gothic"/>
          <w:b/>
          <w:bCs/>
          <w:color w:val="2B2F8F"/>
          <w:sz w:val="30"/>
          <w:szCs w:val="30"/>
        </w:rPr>
        <w:t xml:space="preserve">별표 — 수탁사·국외 이전 현황</w:t>
      </w:r>
    </w:p>
    <w:p>
      <w:pPr>
        <w:spacing w:after="120" w:line="320"/>
      </w:pPr>
      <w:r>
        <w:rPr>
          <w:rFonts w:ascii="Malgun Gothic" w:cs="Malgun Gothic" w:eastAsia="Malgun Gothic" w:hAnsi="Malgun Gothic"/>
          <w:sz w:val="20"/>
          <w:szCs w:val="20"/>
        </w:rPr>
        <w:t xml:space="preserve">이 별표는 제1장 5절의 수탁자와 국외 이전 현황이며 홈페이지에 상시 게시합니다. 수탁자·이전 대상이 추가·변경되면 이 별표를 고치고 시행 7일 전 공지합니다(마케팅 발송 수탁자 변경은 수신 동의자에게 따로 알립니다). 국외 이전을 원하지 않으면 VOC 에이전트 또는 개인정보 보호책임자(제1장 10절)에게 이전 중단을 요청할 수 있으며, 이 경우 해당 이전이 필요한 기능(에이전트 답변·회의록 전사·문의 분류 등)을 이용할 수 없습니다.</w:t>
      </w:r>
    </w:p>
    <w:p>
      <w:pPr>
        <w:pStyle w:val="Heading2"/>
        <w:spacing w:after="120" w:before="240"/>
      </w:pPr>
      <w:r>
        <w:rPr>
          <w:rFonts w:ascii="Malgun Gothic" w:cs="Malgun Gothic" w:eastAsia="Malgun Gothic" w:hAnsi="Malgun Gothic"/>
          <w:b/>
          <w:bCs/>
          <w:color w:val="1F1F1F"/>
          <w:sz w:val="24"/>
          <w:szCs w:val="24"/>
        </w:rPr>
        <w:t xml:space="preserve">1. 처리 위탁 · 국외 이전</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3400"/>
        <w:gridCol w:w="3360"/>
      </w:tblGrid>
      <w:tr>
        <w:trPr>
          <w:tblHeader/>
        </w:trPr>
        <w:tc>
          <w:tcPr>
            <w:tcW w:type="dxa" w:w="2600"/>
            <w:tcBorders>
              <w:top w:val="single" w:color="C7C9D6" w:sz="4"/>
              <w:left w:val="single" w:color="C7C9D6" w:sz="4"/>
              <w:bottom w:val="single" w:color="C7C9D6" w:sz="4"/>
              <w:right w:val="single" w:color="C7C9D6" w:sz="4"/>
            </w:tcBorders>
            <w:shd w:fill="2B2F8F" w:color="auto" w:val="clear"/>
            <w:tcMar>
              <w:top w:type="dxa" w:w="80"/>
              <w:left w:type="dxa" w:w="120"/>
              <w:bottom w:type="dxa" w:w="80"/>
              <w:right w:type="dxa" w:w="120"/>
            </w:tcMar>
          </w:tcPr>
          <w:p>
            <w:pPr>
              <w:spacing w:after="0" w:line="280"/>
            </w:pPr>
            <w:r>
              <w:rPr>
                <w:rFonts w:ascii="Malgun Gothic" w:cs="Malgun Gothic" w:eastAsia="Malgun Gothic" w:hAnsi="Malgun Gothic"/>
                <w:b/>
                <w:bCs/>
                <w:color w:val="FFFFFF"/>
                <w:sz w:val="18"/>
                <w:szCs w:val="18"/>
              </w:rPr>
              <w:t xml:space="preserve">수탁자 (국외 이전 시 연락처)</w:t>
            </w:r>
          </w:p>
        </w:tc>
        <w:tc>
          <w:tcPr>
            <w:tcW w:type="dxa" w:w="3400"/>
            <w:tcBorders>
              <w:top w:val="single" w:color="C7C9D6" w:sz="4"/>
              <w:left w:val="single" w:color="C7C9D6" w:sz="4"/>
              <w:bottom w:val="single" w:color="C7C9D6" w:sz="4"/>
              <w:right w:val="single" w:color="C7C9D6" w:sz="4"/>
            </w:tcBorders>
            <w:shd w:fill="2B2F8F" w:color="auto" w:val="clear"/>
            <w:tcMar>
              <w:top w:type="dxa" w:w="80"/>
              <w:left w:type="dxa" w:w="120"/>
              <w:bottom w:type="dxa" w:w="80"/>
              <w:right w:type="dxa" w:w="120"/>
            </w:tcMar>
          </w:tcPr>
          <w:p>
            <w:pPr>
              <w:spacing w:after="0" w:line="280"/>
            </w:pPr>
            <w:r>
              <w:rPr>
                <w:rFonts w:ascii="Malgun Gothic" w:cs="Malgun Gothic" w:eastAsia="Malgun Gothic" w:hAnsi="Malgun Gothic"/>
                <w:b/>
                <w:bCs/>
                <w:color w:val="FFFFFF"/>
                <w:sz w:val="18"/>
                <w:szCs w:val="18"/>
              </w:rPr>
              <w:t xml:space="preserve">위탁 업무 — 이전 항목</w:t>
            </w:r>
          </w:p>
        </w:tc>
        <w:tc>
          <w:tcPr>
            <w:tcW w:type="dxa" w:w="3360"/>
            <w:tcBorders>
              <w:top w:val="single" w:color="C7C9D6" w:sz="4"/>
              <w:left w:val="single" w:color="C7C9D6" w:sz="4"/>
              <w:bottom w:val="single" w:color="C7C9D6" w:sz="4"/>
              <w:right w:val="single" w:color="C7C9D6" w:sz="4"/>
            </w:tcBorders>
            <w:shd w:fill="2B2F8F" w:color="auto" w:val="clear"/>
            <w:tcMar>
              <w:top w:type="dxa" w:w="80"/>
              <w:left w:type="dxa" w:w="120"/>
              <w:bottom w:type="dxa" w:w="80"/>
              <w:right w:type="dxa" w:w="120"/>
            </w:tcMar>
          </w:tcPr>
          <w:p>
            <w:pPr>
              <w:spacing w:after="0" w:line="280"/>
            </w:pPr>
            <w:r>
              <w:rPr>
                <w:rFonts w:ascii="Malgun Gothic" w:cs="Malgun Gothic" w:eastAsia="Malgun Gothic" w:hAnsi="Malgun Gothic"/>
                <w:b/>
                <w:bCs/>
                <w:color w:val="FFFFFF"/>
                <w:sz w:val="18"/>
                <w:szCs w:val="18"/>
              </w:rPr>
              <w:t xml:space="preserve">국가 · 시기·방법 · 보유 기간</w:t>
            </w:r>
          </w:p>
        </w:tc>
      </w:tr>
      <w:tr>
        <w:trPr>
          <w:tblHeader w:val="false"/>
        </w:trPr>
        <w:tc>
          <w:tcPr>
            <w:tcW w:type="dxa" w:w="26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[클라우드 — 예: AWS 서울 리전]</w:t>
            </w:r>
          </w:p>
        </w:tc>
        <w:tc>
          <w:tcPr>
            <w:tcW w:type="dxa" w:w="34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서버·저장소·백업</w:t>
            </w:r>
          </w:p>
        </w:tc>
        <w:tc>
          <w:tcPr>
            <w:tcW w:type="dxa" w:w="336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대한민국 [__] · 위탁</w:t>
            </w:r>
          </w:p>
        </w:tc>
      </w:tr>
      <w:tr>
        <w:trPr>
          <w:tblHeader w:val="false"/>
        </w:trPr>
        <w:tc>
          <w:tcPr>
            <w:tcW w:type="dxa" w:w="26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[LLM 제공사 — 예: OpenAI · Anthropic · Google] · [연락처]</w:t>
            </w:r>
          </w:p>
        </w:tc>
        <w:tc>
          <w:tcPr>
            <w:tcW w:type="dxa" w:w="34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에이전트 답변 생성 — 질의·컨텍스트(채팅·자료 발췌)</w:t>
            </w:r>
          </w:p>
        </w:tc>
        <w:tc>
          <w:tcPr>
            <w:tcW w:type="dxa" w:w="336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[미국 등] · 질의 시 API로 전송 · API 이용약관상 학습 미사용·[0~30]일 보존 후 삭제 · 서비스 제공에 필요한 국외 이전(개인정보 보호법 §28의8) [법률 검토 — 동의 또는 고지 방식]</w:t>
            </w:r>
          </w:p>
        </w:tc>
      </w:tr>
      <w:tr>
        <w:trPr>
          <w:tblHeader w:val="false"/>
        </w:trPr>
        <w:tc>
          <w:tcPr>
            <w:tcW w:type="dxa" w:w="26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ElevenLabs · [연락처]</w:t>
            </w:r>
          </w:p>
        </w:tc>
        <w:tc>
          <w:tcPr>
            <w:tcW w:type="dxa" w:w="34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회의록 음성 전사 — 회의 녹음 음성</w:t>
            </w:r>
          </w:p>
        </w:tc>
        <w:tc>
          <w:tcPr>
            <w:tcW w:type="dxa" w:w="336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[이전 국가 확인] · 회의록 작성 시 API로 전송 · 보유 기간 [__]</w:t>
            </w:r>
          </w:p>
        </w:tc>
      </w:tr>
      <w:tr>
        <w:trPr>
          <w:tblHeader w:val="false"/>
        </w:trPr>
        <w:tc>
          <w:tcPr>
            <w:tcW w:type="dxa" w:w="26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[Decision AI 제공사 — 업체 확인] · [연락처]</w:t>
            </w:r>
          </w:p>
        </w:tc>
        <w:tc>
          <w:tcPr>
            <w:tcW w:type="dxa" w:w="34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제브의 문의 분류·에이전트 추천 판정 — 문의 내용(개인정보 마스킹 후 전송)</w:t>
            </w:r>
          </w:p>
        </w:tc>
        <w:tc>
          <w:tcPr>
            <w:tcW w:type="dxa" w:w="336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[국가 확인] · 문의 접수 시 API로 전송 · 보유 기간 [__]</w:t>
            </w:r>
          </w:p>
        </w:tc>
      </w:tr>
      <w:tr>
        <w:trPr>
          <w:tblHeader w:val="false"/>
        </w:trPr>
        <w:tc>
          <w:tcPr>
            <w:tcW w:type="dxa" w:w="26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PortOne / KG이니시스</w:t>
            </w:r>
          </w:p>
        </w:tc>
        <w:tc>
          <w:tcPr>
            <w:tcW w:type="dxa" w:w="34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결제 처리, 빌링키 관리, 지급대행·배분금 송금(계좌 검증·원천징수 지원)</w:t>
            </w:r>
          </w:p>
        </w:tc>
        <w:tc>
          <w:tcPr>
            <w:tcW w:type="dxa" w:w="336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대한민국 · 위탁 · 결제대행사 변경 시 이 표 갱신</w:t>
            </w:r>
          </w:p>
        </w:tc>
      </w:tr>
      <w:tr>
        <w:trPr>
          <w:tblHeader w:val="false"/>
        </w:trPr>
        <w:tc>
          <w:tcPr>
            <w:tcW w:type="dxa" w:w="26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[본인확인기관 · 성인인증기관]</w:t>
            </w:r>
          </w:p>
        </w:tc>
        <w:tc>
          <w:tcPr>
            <w:tcW w:type="dxa" w:w="34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실명·연령 확인</w:t>
            </w:r>
          </w:p>
        </w:tc>
        <w:tc>
          <w:tcPr>
            <w:tcW w:type="dxa" w:w="336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대한민국 · 위탁</w:t>
            </w:r>
          </w:p>
        </w:tc>
      </w:tr>
      <w:tr>
        <w:trPr>
          <w:tblHeader w:val="false"/>
        </w:trPr>
        <w:tc>
          <w:tcPr>
            <w:tcW w:type="dxa" w:w="26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[문자·이메일·푸시 발송사]</w:t>
            </w:r>
          </w:p>
        </w:tc>
        <w:tc>
          <w:tcPr>
            <w:tcW w:type="dxa" w:w="34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알림·인증번호 발송</w:t>
            </w:r>
          </w:p>
        </w:tc>
        <w:tc>
          <w:tcPr>
            <w:tcW w:type="dxa" w:w="336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대한민국 [__] · 위탁</w:t>
            </w:r>
          </w:p>
        </w:tc>
      </w:tr>
      <w:tr>
        <w:trPr>
          <w:tblHeader w:val="false"/>
        </w:trPr>
        <w:tc>
          <w:tcPr>
            <w:tcW w:type="dxa" w:w="26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[지도·위치 API 제공사 — 예: Google Maps] · [연락처]</w:t>
            </w:r>
          </w:p>
        </w:tc>
        <w:tc>
          <w:tcPr>
            <w:tcW w:type="dxa" w:w="34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위치 좌표의 주소 변환·지도 표시(제2장) — 위치 좌표</w:t>
            </w:r>
          </w:p>
        </w:tc>
        <w:tc>
          <w:tcPr>
            <w:tcW w:type="dxa" w:w="336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[미국 등] · 국외 이전 · [시기·방법] · 보유 기간 [__] [법률 검토]</w:t>
            </w:r>
          </w:p>
        </w:tc>
      </w:tr>
      <w:tr>
        <w:trPr>
          <w:tblHeader w:val="false"/>
        </w:trPr>
        <w:tc>
          <w:tcPr>
            <w:tcW w:type="dxa" w:w="26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[랜딩 폼·뉴스레터 도구 — 미정]</w:t>
            </w:r>
          </w:p>
        </w:tc>
        <w:tc>
          <w:tcPr>
            <w:tcW w:type="dxa" w:w="34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도입 문의·체험 신청 접수, 뉴스레터 발송 — 신청 폼 입력 정보(제1장 2절)</w:t>
            </w:r>
          </w:p>
        </w:tc>
        <w:tc>
          <w:tcPr>
            <w:tcW w:type="dxa" w:w="336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[미정]</w:t>
            </w:r>
          </w:p>
        </w:tc>
      </w:tr>
    </w:tbl>
    <w:p>
      <w:pPr>
        <w:pStyle w:val="Heading2"/>
        <w:spacing w:after="120" w:before="240"/>
      </w:pPr>
      <w:r>
        <w:rPr>
          <w:rFonts w:ascii="Malgun Gothic" w:cs="Malgun Gothic" w:eastAsia="Malgun Gothic" w:hAnsi="Malgun Gothic"/>
          <w:b/>
          <w:bCs/>
          <w:color w:val="1F1F1F"/>
          <w:sz w:val="24"/>
          <w:szCs w:val="24"/>
        </w:rPr>
        <w:t xml:space="preserve">2. 툴을 통한 제공</w:t>
      </w:r>
    </w:p>
    <w:p>
      <w:pPr>
        <w:spacing w:after="120" w:line="320"/>
      </w:pPr>
      <w:r>
        <w:rPr>
          <w:rFonts w:ascii="Malgun Gothic" w:cs="Malgun Gothic" w:eastAsia="Malgun Gothic" w:hAnsi="Malgun Gothic"/>
          <w:sz w:val="20"/>
          <w:szCs w:val="20"/>
        </w:rPr>
        <w:t xml:space="preserve">이용자가 툴로 외부 서비스를 실행하면 그 서비스 제공자에게 실행에 필요한 정보가 제공됩니다. 회사는 툴을 처음 연결할 때 제공받는 자·목적·항목·보유 기간을 알리고 툴마다 동의를 받습니다(제1장 4절 ⑤).</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3400"/>
        <w:gridCol w:w="3360"/>
      </w:tblGrid>
      <w:tr>
        <w:trPr>
          <w:tblHeader/>
        </w:trPr>
        <w:tc>
          <w:tcPr>
            <w:tcW w:type="dxa" w:w="2600"/>
            <w:tcBorders>
              <w:top w:val="single" w:color="C7C9D6" w:sz="4"/>
              <w:left w:val="single" w:color="C7C9D6" w:sz="4"/>
              <w:bottom w:val="single" w:color="C7C9D6" w:sz="4"/>
              <w:right w:val="single" w:color="C7C9D6" w:sz="4"/>
            </w:tcBorders>
            <w:shd w:fill="2B2F8F" w:color="auto" w:val="clear"/>
            <w:tcMar>
              <w:top w:type="dxa" w:w="80"/>
              <w:left w:type="dxa" w:w="120"/>
              <w:bottom w:type="dxa" w:w="80"/>
              <w:right w:type="dxa" w:w="120"/>
            </w:tcMar>
          </w:tcPr>
          <w:p>
            <w:pPr>
              <w:spacing w:after="0" w:line="280"/>
            </w:pPr>
            <w:r>
              <w:rPr>
                <w:rFonts w:ascii="Malgun Gothic" w:cs="Malgun Gothic" w:eastAsia="Malgun Gothic" w:hAnsi="Malgun Gothic"/>
                <w:b/>
                <w:bCs/>
                <w:color w:val="FFFFFF"/>
                <w:sz w:val="18"/>
                <w:szCs w:val="18"/>
              </w:rPr>
              <w:t xml:space="preserve">제공받는 자</w:t>
            </w:r>
          </w:p>
        </w:tc>
        <w:tc>
          <w:tcPr>
            <w:tcW w:type="dxa" w:w="3400"/>
            <w:tcBorders>
              <w:top w:val="single" w:color="C7C9D6" w:sz="4"/>
              <w:left w:val="single" w:color="C7C9D6" w:sz="4"/>
              <w:bottom w:val="single" w:color="C7C9D6" w:sz="4"/>
              <w:right w:val="single" w:color="C7C9D6" w:sz="4"/>
            </w:tcBorders>
            <w:shd w:fill="2B2F8F" w:color="auto" w:val="clear"/>
            <w:tcMar>
              <w:top w:type="dxa" w:w="80"/>
              <w:left w:type="dxa" w:w="120"/>
              <w:bottom w:type="dxa" w:w="80"/>
              <w:right w:type="dxa" w:w="120"/>
            </w:tcMar>
          </w:tcPr>
          <w:p>
            <w:pPr>
              <w:spacing w:after="0" w:line="280"/>
            </w:pPr>
            <w:r>
              <w:rPr>
                <w:rFonts w:ascii="Malgun Gothic" w:cs="Malgun Gothic" w:eastAsia="Malgun Gothic" w:hAnsi="Malgun Gothic"/>
                <w:b/>
                <w:bCs/>
                <w:color w:val="FFFFFF"/>
                <w:sz w:val="18"/>
                <w:szCs w:val="18"/>
              </w:rPr>
              <w:t xml:space="preserve">툴 · 제공 목적</w:t>
            </w:r>
          </w:p>
        </w:tc>
        <w:tc>
          <w:tcPr>
            <w:tcW w:type="dxa" w:w="3360"/>
            <w:tcBorders>
              <w:top w:val="single" w:color="C7C9D6" w:sz="4"/>
              <w:left w:val="single" w:color="C7C9D6" w:sz="4"/>
              <w:bottom w:val="single" w:color="C7C9D6" w:sz="4"/>
              <w:right w:val="single" w:color="C7C9D6" w:sz="4"/>
            </w:tcBorders>
            <w:shd w:fill="2B2F8F" w:color="auto" w:val="clear"/>
            <w:tcMar>
              <w:top w:type="dxa" w:w="80"/>
              <w:left w:type="dxa" w:w="120"/>
              <w:bottom w:type="dxa" w:w="80"/>
              <w:right w:type="dxa" w:w="120"/>
            </w:tcMar>
          </w:tcPr>
          <w:p>
            <w:pPr>
              <w:spacing w:after="0" w:line="280"/>
            </w:pPr>
            <w:r>
              <w:rPr>
                <w:rFonts w:ascii="Malgun Gothic" w:cs="Malgun Gothic" w:eastAsia="Malgun Gothic" w:hAnsi="Malgun Gothic"/>
                <w:b/>
                <w:bCs/>
                <w:color w:val="FFFFFF"/>
                <w:sz w:val="18"/>
                <w:szCs w:val="18"/>
              </w:rPr>
              <w:t xml:space="preserve">제공 항목 · 보유 기간</w:t>
            </w:r>
          </w:p>
        </w:tc>
      </w:tr>
      <w:tr>
        <w:trPr>
          <w:tblHeader w:val="false"/>
        </w:trPr>
        <w:tc>
          <w:tcPr>
            <w:tcW w:type="dxa" w:w="26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팝빌</w:t>
            </w:r>
          </w:p>
        </w:tc>
        <w:tc>
          <w:tcPr>
            <w:tcW w:type="dxa" w:w="340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계좌 조회 툴 — 이용자가 요청한 계좌 조회</w:t>
            </w:r>
          </w:p>
        </w:tc>
        <w:tc>
          <w:tcPr>
            <w:tcW w:type="dxa" w:w="3360"/>
            <w:tcBorders>
              <w:top w:val="single" w:color="C7C9D6" w:sz="4"/>
              <w:left w:val="single" w:color="C7C9D6" w:sz="4"/>
              <w:bottom w:val="single" w:color="C7C9D6" w:sz="4"/>
              <w:right w:val="single" w:color="C7C9D6" w:sz="4"/>
            </w:tcBorders>
            <w:shd w:fill="FAFAFD" w:color="auto" w:val="clear"/>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[제공 항목] · [보유 기간]</w:t>
            </w:r>
          </w:p>
        </w:tc>
      </w:tr>
      <w:tr>
        <w:trPr>
          <w:tblHeader w:val="false"/>
        </w:trPr>
        <w:tc>
          <w:tcPr>
            <w:tcW w:type="dxa" w:w="26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[보험 조회 API 제공사 — 툴 제공 시]</w:t>
            </w:r>
          </w:p>
        </w:tc>
        <w:tc>
          <w:tcPr>
            <w:tcW w:type="dxa" w:w="340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보험 조회 툴</w:t>
            </w:r>
          </w:p>
        </w:tc>
        <w:tc>
          <w:tcPr>
            <w:tcW w:type="dxa" w:w="3360"/>
            <w:tcBorders>
              <w:top w:val="single" w:color="C7C9D6" w:sz="4"/>
              <w:left w:val="single" w:color="C7C9D6" w:sz="4"/>
              <w:bottom w:val="single" w:color="C7C9D6" w:sz="4"/>
              <w:right w:val="single" w:color="C7C9D6" w:sz="4"/>
            </w:tcBorders>
            <w:tcMar>
              <w:top w:type="dxa" w:w="80"/>
              <w:left w:type="dxa" w:w="120"/>
              <w:bottom w:type="dxa" w:w="80"/>
              <w:right w:type="dxa" w:w="120"/>
            </w:tcMar>
          </w:tcPr>
          <w:p>
            <w:pPr>
              <w:spacing w:after="0" w:line="280"/>
            </w:pPr>
            <w:r>
              <w:rPr>
                <w:rFonts w:ascii="Malgun Gothic" w:cs="Malgun Gothic" w:eastAsia="Malgun Gothic" w:hAnsi="Malgun Gothic"/>
                <w:b w:val="false"/>
                <w:bCs w:val="false"/>
                <w:color w:val="1F1F1F"/>
                <w:sz w:val="18"/>
                <w:szCs w:val="18"/>
              </w:rPr>
              <w:t xml:space="preserve">[제공 항목] · [보유 기간]</w:t>
            </w:r>
          </w:p>
        </w:tc>
      </w:tr>
    </w:tbl>
    <w:p>
      <w:pPr>
        <w:spacing w:after="120" w:line="320"/>
      </w:pPr>
      <w:r>
        <w:rPr>
          <w:rFonts w:ascii="Malgun Gothic" w:cs="Malgun Gothic" w:eastAsia="Malgun Gothic" w:hAnsi="Malgun Gothic"/>
          <w:sz w:val="20"/>
          <w:szCs w:val="20"/>
        </w:rPr>
        <w:t xml:space="preserve">홈페이지 분석·광고 도구(Google Analytics·Meta Pixel)는 제1장 9절에 따릅니다.</w:t>
      </w:r>
    </w:p>
    <w:sectPr>
      <w:headerReference w:type="default" r:id="rId7"/>
      <w:footerReference w:type="default" r:id="rId8"/>
      <w:pgSz w:w="11906" w:h="16838" w:orient="portrait"/>
      <w:pgMar w:top="1300" w:right="1300" w:bottom="1200" w:left="13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cs="Malgun Gothic" w:eastAsia="Malgun Gothic" w:hAnsi="Malgun Gothic"/>
        <w:color w:val="5F6368"/>
        <w:sz w:val="16"/>
        <w:szCs w:val="16"/>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Malgun Gothic" w:cs="Malgun Gothic" w:eastAsia="Malgun Gothic" w:hAnsi="Malgun Gothic"/>
        <w:color w:val="5F6368"/>
        <w:sz w:val="16"/>
        <w:szCs w:val="16"/>
      </w:rPr>
      <w:t xml:space="preserve">Synerzy 개인정보 처리방침 · v0.2 (위치정보 처리 포함)</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80" w:hanging="240"/>
      </w:pPr>
    </w:lvl>
    <w:lvl w:ilvl="1" w15:tentative="1">
      <w:start w:val="1"/>
      <w:numFmt w:val="bullet"/>
      <w:lvlText w:val="–"/>
      <w:lvlJc w:val="left"/>
      <w:pPr>
        <w:ind w:left="900" w:hanging="240"/>
      </w:pPr>
    </w:lvl>
  </w:abstractNum>
  <w:abstractNum w:abstractNumId="3" w15:restartNumberingAfterBreak="0">
    <w:multiLevelType w:val="hybridMultilevel"/>
    <w:lvl w:ilvl="0" w15:tentative="1">
      <w:start w:val="1"/>
      <w:numFmt w:val="decimal"/>
      <w:lvlText w:val="%1."/>
      <w:lvlJc w:val="left"/>
      <w:pPr>
        <w:ind w:left="48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cs="Malgun Gothic" w:eastAsia="Malgun Gothic" w:hAnsi="Malgun Gothic"/>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before="360"/>
      <w:outlineLvl w:val="0"/>
    </w:pPr>
    <w:rPr>
      <w:rFonts w:ascii="Malgun Gothic" w:cs="Malgun Gothic" w:eastAsia="Malgun Gothic" w:hAnsi="Malgun Gothic"/>
      <w:b/>
      <w:bCs/>
      <w:color w:val="2B2F8F"/>
      <w:sz w:val="30"/>
      <w:szCs w:val="30"/>
    </w:rPr>
  </w:style>
  <w:style w:type="paragraph" w:styleId="Heading2">
    <w:name w:val="Heading 2"/>
    <w:basedOn w:val="Normal"/>
    <w:next w:val="Normal"/>
    <w:qFormat/>
    <w:pPr>
      <w:spacing w:after="120" w:before="240"/>
      <w:outlineLvl w:val="1"/>
    </w:pPr>
    <w:rPr>
      <w:rFonts w:ascii="Malgun Gothic" w:cs="Malgun Gothic" w:eastAsia="Malgun Gothic" w:hAnsi="Malgun Gothic"/>
      <w:b/>
      <w:bCs/>
      <w:sz w:val="24"/>
      <w:szCs w:val="24"/>
    </w:rPr>
  </w:style>
  <w:style w:type="paragraph" w:styleId="Heading3">
    <w:name w:val="Heading 3"/>
    <w:basedOn w:val="Normal"/>
    <w:next w:val="Normal"/>
    <w:qFormat/>
    <w:pPr>
      <w:spacing w:after="80" w:before="160"/>
      <w:outlineLvl w:val="2"/>
    </w:pPr>
    <w:rPr>
      <w:rFonts w:ascii="Malgun Gothic" w:cs="Malgun Gothic" w:eastAsia="Malgun Gothic" w:hAnsi="Malgun Gothic"/>
      <w:b/>
      <w:bCs/>
      <w:sz w:val="21"/>
      <w:szCs w:val="21"/>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Synerzy 개인정보 처리방침</dc:title>
  <dc:creator>Synerzy</dc:creator>
  <cp:lastModifiedBy>Un-named</cp:lastModifiedBy>
  <cp:revision>1</cp:revision>
  <dcterms:created xsi:type="dcterms:W3CDTF">2026-09-11T11:09:38.446Z</dcterms:created>
  <dcterms:modified xsi:type="dcterms:W3CDTF">2026-09-11T11:09:38.447Z</dcterms:modified>
</cp:coreProperties>
</file>

<file path=docProps/custom.xml><?xml version="1.0" encoding="utf-8"?>
<Properties xmlns="http://schemas.openxmlformats.org/officeDocument/2006/custom-properties" xmlns:vt="http://schemas.openxmlformats.org/officeDocument/2006/docPropsVTypes"/>
</file>